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6B" w:rsidRDefault="0002473D" w:rsidP="00B95051">
      <w:pPr>
        <w:pStyle w:val="Title"/>
        <w:spacing w:after="0"/>
        <w:rPr>
          <w:rFonts w:ascii="Cambria" w:hAnsi="Cambria"/>
          <w:sz w:val="22"/>
        </w:rPr>
      </w:pPr>
      <w:r>
        <w:rPr>
          <w:rFonts w:ascii="Cambria" w:hAnsi="Cambria"/>
          <w:sz w:val="22"/>
        </w:rPr>
        <w:t>U</w:t>
      </w:r>
      <w:r w:rsidR="00B95051">
        <w:rPr>
          <w:rFonts w:ascii="Cambria" w:hAnsi="Cambria"/>
          <w:sz w:val="22"/>
        </w:rPr>
        <w:t>niversity Faculty Council Report – may 1, 2017</w:t>
      </w:r>
    </w:p>
    <w:p w:rsidR="00B95051" w:rsidRDefault="00B95051" w:rsidP="00B95051">
      <w:r>
        <w:t xml:space="preserve">Meeting minutes and agendas can be found at </w:t>
      </w:r>
      <w:hyperlink r:id="rId8" w:history="1">
        <w:r w:rsidRPr="00435FCC">
          <w:rPr>
            <w:rStyle w:val="Hyperlink"/>
          </w:rPr>
          <w:t>http://senate.utk.edu/faculty-council/</w:t>
        </w:r>
      </w:hyperlink>
      <w:r>
        <w:t>.</w:t>
      </w:r>
    </w:p>
    <w:p w:rsidR="00B95051" w:rsidRPr="00B95051" w:rsidRDefault="00B95051" w:rsidP="00B95051"/>
    <w:p w:rsidR="00EC07F1" w:rsidRDefault="00EC07F1" w:rsidP="005B21E2">
      <w:pPr>
        <w:pStyle w:val="Heading1"/>
        <w:spacing w:before="60"/>
        <w:ind w:left="360" w:hanging="360"/>
        <w:rPr>
          <w:rFonts w:ascii="Cambria" w:hAnsi="Cambria"/>
          <w:sz w:val="22"/>
          <w:szCs w:val="22"/>
        </w:rPr>
      </w:pPr>
      <w:r>
        <w:rPr>
          <w:rFonts w:ascii="Cambria" w:hAnsi="Cambria"/>
          <w:sz w:val="22"/>
          <w:szCs w:val="22"/>
        </w:rPr>
        <w:t>Bonus incentives for campus and system administrators based on faculty salary increases</w:t>
      </w:r>
    </w:p>
    <w:p w:rsidR="0029353F" w:rsidRDefault="00EC07F1" w:rsidP="000837B6">
      <w:pPr>
        <w:pStyle w:val="ListParagraph"/>
        <w:numPr>
          <w:ilvl w:val="0"/>
          <w:numId w:val="13"/>
        </w:numPr>
        <w:ind w:hanging="180"/>
      </w:pPr>
      <w:r>
        <w:t xml:space="preserve">The Board of Trustees instituted a system of stretch metrics as incentives </w:t>
      </w:r>
      <w:r w:rsidR="0029353F">
        <w:t xml:space="preserve">for </w:t>
      </w:r>
      <w:r>
        <w:t xml:space="preserve">campus administrators </w:t>
      </w:r>
      <w:r w:rsidR="0029353F">
        <w:t>t</w:t>
      </w:r>
      <w:r>
        <w:t xml:space="preserve">o receive salary bonuses. </w:t>
      </w:r>
      <w:r w:rsidR="00C752B4">
        <w:t>Closing the salary gap for faculty with peer institutions was one of the metrics. Auditors determined that the various campuses had not uniformly performed the salary gap analysis with 2013 data and beyond. Essentially</w:t>
      </w:r>
      <w:r w:rsidR="0029353F">
        <w:t>, there were differences in the way the data from Sibson Consulting was aged.</w:t>
      </w:r>
      <w:r w:rsidR="00C752B4">
        <w:t xml:space="preserve"> As a result, you could look better than you were, according to the aging percentage</w:t>
      </w:r>
      <w:r w:rsidR="0029353F">
        <w:t xml:space="preserve"> method</w:t>
      </w:r>
      <w:r w:rsidR="00C752B4">
        <w:t>.</w:t>
      </w:r>
      <w:r w:rsidR="00C752B4">
        <w:t xml:space="preserve"> </w:t>
      </w:r>
      <w:r w:rsidR="0029353F">
        <w:t xml:space="preserve">This led to a Board of Trustees decision to suspend this metric. </w:t>
      </w:r>
      <w:r>
        <w:t xml:space="preserve">The UFC </w:t>
      </w:r>
      <w:r w:rsidR="00C752B4">
        <w:t xml:space="preserve">met with President DiPietro to discuss this development and </w:t>
      </w:r>
      <w:r>
        <w:t>express concern.</w:t>
      </w:r>
    </w:p>
    <w:p w:rsidR="0029353F" w:rsidRPr="0098476E" w:rsidRDefault="0029353F" w:rsidP="0098476E">
      <w:pPr>
        <w:pStyle w:val="ListParagraph"/>
        <w:numPr>
          <w:ilvl w:val="0"/>
          <w:numId w:val="13"/>
        </w:numPr>
        <w:ind w:hanging="180"/>
      </w:pPr>
      <w:r>
        <w:t>President DiPietro stated that a</w:t>
      </w:r>
      <w:r>
        <w:t xml:space="preserve">uditors said it was like comparing apples to oranges and advised not to use this for executive analysis. </w:t>
      </w:r>
      <w:r>
        <w:t xml:space="preserve">He indicated that </w:t>
      </w:r>
      <w:r>
        <w:t>there will be a temporary suspension of the process until we get it right. He stressed that closing the gap is important</w:t>
      </w:r>
      <w:r>
        <w:t xml:space="preserve">, and he </w:t>
      </w:r>
      <w:r>
        <w:t>ha</w:t>
      </w:r>
      <w:r>
        <w:t>d</w:t>
      </w:r>
      <w:r>
        <w:t xml:space="preserve"> every intention of holding the chancellors accountable for closing the gap. In the meantime</w:t>
      </w:r>
      <w:r>
        <w:t>,</w:t>
      </w:r>
      <w:r>
        <w:t xml:space="preserve"> HR will work to </w:t>
      </w:r>
      <w:r>
        <w:t xml:space="preserve">produce </w:t>
      </w:r>
      <w:r>
        <w:t>consistent data.</w:t>
      </w:r>
      <w:r w:rsidR="0098476E">
        <w:t xml:space="preserve"> </w:t>
      </w:r>
      <w:r w:rsidR="0098476E" w:rsidRPr="0098476E">
        <w:t>The UFC will monitor the progress of developing different metrics for the different campuses, and advocate this metric be reinstated as an incentive.</w:t>
      </w:r>
    </w:p>
    <w:p w:rsidR="00EC07F1" w:rsidRPr="00EC07F1" w:rsidRDefault="00EC07F1" w:rsidP="00C752B4">
      <w:pPr>
        <w:pStyle w:val="BodyText"/>
        <w:spacing w:before="0"/>
        <w:ind w:left="907" w:firstLine="0"/>
      </w:pPr>
      <w:r>
        <w:t xml:space="preserve">   </w:t>
      </w:r>
    </w:p>
    <w:p w:rsidR="00CB0F4E" w:rsidRDefault="00B95051" w:rsidP="005B21E2">
      <w:pPr>
        <w:pStyle w:val="Heading1"/>
        <w:spacing w:before="60"/>
        <w:ind w:left="360" w:hanging="360"/>
        <w:rPr>
          <w:rFonts w:ascii="Cambria" w:hAnsi="Cambria"/>
          <w:sz w:val="22"/>
          <w:szCs w:val="22"/>
        </w:rPr>
      </w:pPr>
      <w:r>
        <w:rPr>
          <w:rFonts w:ascii="Cambria" w:hAnsi="Cambria"/>
          <w:sz w:val="22"/>
          <w:szCs w:val="22"/>
        </w:rPr>
        <w:t>APR, CPR, EPPR Resolution</w:t>
      </w:r>
    </w:p>
    <w:p w:rsidR="00551C6B" w:rsidRPr="00551C6B" w:rsidRDefault="00B95051" w:rsidP="005A108F">
      <w:pPr>
        <w:pStyle w:val="ListParagraph"/>
        <w:numPr>
          <w:ilvl w:val="0"/>
          <w:numId w:val="6"/>
        </w:numPr>
        <w:autoSpaceDE w:val="0"/>
        <w:autoSpaceDN w:val="0"/>
        <w:adjustRightInd w:val="0"/>
        <w:ind w:left="720" w:hanging="180"/>
        <w:jc w:val="both"/>
        <w:rPr>
          <w:rFonts w:cs="Calibri"/>
          <w:szCs w:val="24"/>
        </w:rPr>
      </w:pPr>
      <w:r>
        <w:rPr>
          <w:szCs w:val="24"/>
        </w:rPr>
        <w:t xml:space="preserve">Following approval of the resolution by all four campus senates, a cover letter was drafted as a preamble and forwarded to President DiPietro. </w:t>
      </w:r>
      <w:r w:rsidR="00CB0F4E" w:rsidRPr="00C45043">
        <w:rPr>
          <w:szCs w:val="24"/>
        </w:rPr>
        <w:t xml:space="preserve">The </w:t>
      </w:r>
      <w:r>
        <w:rPr>
          <w:szCs w:val="24"/>
        </w:rPr>
        <w:t xml:space="preserve">UTK Resolution on monitoring APR, CPR, &amp;EPPR was passed on February 6, 2017 </w:t>
      </w:r>
      <w:hyperlink r:id="rId9" w:history="1">
        <w:r w:rsidRPr="00435FCC">
          <w:rPr>
            <w:rStyle w:val="Hyperlink"/>
            <w:szCs w:val="24"/>
          </w:rPr>
          <w:t>http://senate.utk.edu/archives/senate-reports-minutes-publications-2016-2017/</w:t>
        </w:r>
      </w:hyperlink>
      <w:r>
        <w:rPr>
          <w:szCs w:val="24"/>
        </w:rPr>
        <w:t xml:space="preserve">. </w:t>
      </w:r>
    </w:p>
    <w:p w:rsidR="00724BA2" w:rsidRDefault="00724BA2" w:rsidP="00724BA2">
      <w:pPr>
        <w:autoSpaceDE w:val="0"/>
        <w:autoSpaceDN w:val="0"/>
        <w:adjustRightInd w:val="0"/>
        <w:ind w:left="540"/>
        <w:jc w:val="both"/>
        <w:rPr>
          <w:rFonts w:cs="Calibri"/>
          <w:szCs w:val="24"/>
        </w:rPr>
      </w:pPr>
    </w:p>
    <w:p w:rsidR="004A6E08" w:rsidRDefault="008D61DC" w:rsidP="005B21E2">
      <w:pPr>
        <w:pStyle w:val="BodyText"/>
        <w:spacing w:before="0"/>
        <w:ind w:left="360" w:hanging="360"/>
        <w:rPr>
          <w:b/>
          <w:caps/>
        </w:rPr>
      </w:pPr>
      <w:r>
        <w:rPr>
          <w:b/>
          <w:caps/>
        </w:rPr>
        <w:t>i</w:t>
      </w:r>
      <w:r w:rsidR="000837B6">
        <w:rPr>
          <w:b/>
          <w:caps/>
        </w:rPr>
        <w:t>ii</w:t>
      </w:r>
      <w:r w:rsidR="009D4012" w:rsidRPr="009D4012">
        <w:rPr>
          <w:b/>
          <w:caps/>
        </w:rPr>
        <w:t>.</w:t>
      </w:r>
      <w:r w:rsidR="00D60F23" w:rsidRPr="009D4012">
        <w:rPr>
          <w:b/>
          <w:caps/>
        </w:rPr>
        <w:t xml:space="preserve"> </w:t>
      </w:r>
      <w:r w:rsidR="009D4012">
        <w:rPr>
          <w:b/>
          <w:caps/>
        </w:rPr>
        <w:tab/>
      </w:r>
      <w:r w:rsidR="004A6E08">
        <w:rPr>
          <w:b/>
          <w:caps/>
        </w:rPr>
        <w:t>APR</w:t>
      </w:r>
      <w:r w:rsidR="000837B6">
        <w:rPr>
          <w:b/>
          <w:caps/>
        </w:rPr>
        <w:t>,</w:t>
      </w:r>
      <w:r w:rsidR="004A6E08">
        <w:rPr>
          <w:b/>
          <w:caps/>
        </w:rPr>
        <w:t xml:space="preserve"> CPR, </w:t>
      </w:r>
      <w:r w:rsidR="000837B6">
        <w:rPr>
          <w:b/>
          <w:caps/>
        </w:rPr>
        <w:t xml:space="preserve">and </w:t>
      </w:r>
      <w:r w:rsidR="004A6E08">
        <w:rPr>
          <w:b/>
          <w:caps/>
        </w:rPr>
        <w:t>EPPR Data</w:t>
      </w:r>
    </w:p>
    <w:p w:rsidR="00D870C8" w:rsidRPr="00D870C8" w:rsidRDefault="004A6E08" w:rsidP="005A108F">
      <w:pPr>
        <w:pStyle w:val="BodyText"/>
        <w:numPr>
          <w:ilvl w:val="0"/>
          <w:numId w:val="11"/>
        </w:numPr>
        <w:spacing w:before="0"/>
        <w:ind w:left="720" w:hanging="180"/>
        <w:rPr>
          <w:caps/>
        </w:rPr>
      </w:pPr>
      <w:r w:rsidRPr="004A6E08">
        <w:t xml:space="preserve">Across </w:t>
      </w:r>
      <w:r>
        <w:t xml:space="preserve">all </w:t>
      </w:r>
      <w:r w:rsidRPr="004A6E08">
        <w:t>UTK</w:t>
      </w:r>
      <w:r>
        <w:t xml:space="preserve"> </w:t>
      </w:r>
      <w:r w:rsidR="00CB6A46">
        <w:t xml:space="preserve">academic </w:t>
      </w:r>
      <w:r>
        <w:t xml:space="preserve">units (except </w:t>
      </w:r>
      <w:r w:rsidR="005B21E2">
        <w:t>CASNR),</w:t>
      </w:r>
      <w:r>
        <w:t xml:space="preserve"> the average APR rating </w:t>
      </w:r>
      <w:r w:rsidR="008B5B4B">
        <w:t xml:space="preserve">for tenure/tenure-track faculty </w:t>
      </w:r>
      <w:r w:rsidR="00CB6A46">
        <w:t>was above meets expectations (Table 1).</w:t>
      </w:r>
      <w:r w:rsidR="005B21E2">
        <w:t xml:space="preserve"> </w:t>
      </w:r>
      <w:r w:rsidR="008B5B4B">
        <w:t>Across all units, 68% and 58% were rated above “meets expectations” for academic years 2013-14 and 2014-15, respectively.</w:t>
      </w:r>
      <w:r w:rsidR="00D870C8">
        <w:t xml:space="preserve"> </w:t>
      </w:r>
      <w:r w:rsidR="00D870C8" w:rsidRPr="008B5B4B">
        <w:t xml:space="preserve">B. Ownley is working with HR personnel at UTIA </w:t>
      </w:r>
      <w:r w:rsidR="00D870C8">
        <w:t>to ensure accuracy of CASNR data.</w:t>
      </w:r>
    </w:p>
    <w:p w:rsidR="00EC07F1" w:rsidRPr="00EC07F1" w:rsidRDefault="005B21E2" w:rsidP="005A108F">
      <w:pPr>
        <w:pStyle w:val="BodyText"/>
        <w:numPr>
          <w:ilvl w:val="0"/>
          <w:numId w:val="11"/>
        </w:numPr>
        <w:spacing w:before="0"/>
        <w:ind w:left="720" w:hanging="180"/>
        <w:rPr>
          <w:caps/>
        </w:rPr>
      </w:pPr>
      <w:r>
        <w:t>During these two years, there were four CPRs triggered. Two resulted in a</w:t>
      </w:r>
      <w:r w:rsidR="00F553B7">
        <w:t xml:space="preserve"> CPR </w:t>
      </w:r>
      <w:r>
        <w:t>improvement plan</w:t>
      </w:r>
      <w:r w:rsidR="00F553B7">
        <w:t xml:space="preserve">. </w:t>
      </w:r>
      <w:r w:rsidR="00940A5B">
        <w:t>Of</w:t>
      </w:r>
      <w:r w:rsidR="00CB6A46">
        <w:t xml:space="preserve"> the remaining two cases, CPR was s</w:t>
      </w:r>
      <w:r w:rsidR="00F553B7">
        <w:t xml:space="preserve">uspended due to a </w:t>
      </w:r>
      <w:r>
        <w:t xml:space="preserve">retirement </w:t>
      </w:r>
      <w:r w:rsidR="00F553B7">
        <w:t xml:space="preserve">for one, and there was a termination due to a Retention Review </w:t>
      </w:r>
      <w:r w:rsidR="00CB6A46">
        <w:t>for the second case.</w:t>
      </w:r>
      <w:r>
        <w:t xml:space="preserve"> </w:t>
      </w:r>
      <w:r w:rsidRPr="008B5B4B">
        <w:t xml:space="preserve">B. Ownley is working with HR personnel at UTIA </w:t>
      </w:r>
      <w:r>
        <w:t>to ensure accuracy of CASNR data.</w:t>
      </w:r>
    </w:p>
    <w:p w:rsidR="00CB6A46" w:rsidRPr="00D870C8" w:rsidRDefault="00CB6A46" w:rsidP="00EC07F1">
      <w:pPr>
        <w:pStyle w:val="BodyText"/>
        <w:spacing w:before="0"/>
        <w:ind w:left="900" w:firstLine="0"/>
        <w:rPr>
          <w:caps/>
        </w:rPr>
      </w:pPr>
    </w:p>
    <w:p w:rsidR="00AA7E8F" w:rsidRPr="005B21E2" w:rsidRDefault="00AA7E8F" w:rsidP="00CB6A46">
      <w:pPr>
        <w:pStyle w:val="BodyText"/>
        <w:spacing w:before="0"/>
        <w:ind w:left="900" w:firstLine="0"/>
        <w:rPr>
          <w:caps/>
        </w:rPr>
      </w:pPr>
    </w:p>
    <w:p w:rsidR="004A6E08" w:rsidRPr="00EC07F1" w:rsidRDefault="00786C66" w:rsidP="005A108F">
      <w:pPr>
        <w:pStyle w:val="BodyText"/>
        <w:spacing w:before="0"/>
        <w:ind w:left="450" w:firstLine="0"/>
        <w:rPr>
          <w:rFonts w:cs="Tahoma"/>
        </w:rPr>
      </w:pPr>
      <w:proofErr w:type="gramStart"/>
      <w:r>
        <w:rPr>
          <w:rFonts w:cs="Tahoma"/>
        </w:rPr>
        <w:t xml:space="preserve">DRAFT - </w:t>
      </w:r>
      <w:r w:rsidR="00CB6A46" w:rsidRPr="00EC07F1">
        <w:rPr>
          <w:rFonts w:cs="Tahoma"/>
        </w:rPr>
        <w:t>Table 1</w:t>
      </w:r>
      <w:r w:rsidR="00CB6A46" w:rsidRPr="00EC07F1">
        <w:rPr>
          <w:rFonts w:cs="Tahoma"/>
          <w:caps/>
        </w:rPr>
        <w:t>.</w:t>
      </w:r>
      <w:proofErr w:type="gramEnd"/>
      <w:r w:rsidR="00CB6A46" w:rsidRPr="00EC07F1">
        <w:rPr>
          <w:rFonts w:cs="Tahoma"/>
          <w:caps/>
        </w:rPr>
        <w:t xml:space="preserve"> </w:t>
      </w:r>
      <w:r w:rsidR="00CB6A46" w:rsidRPr="00EC07F1">
        <w:rPr>
          <w:rFonts w:cs="Tahoma"/>
        </w:rPr>
        <w:t>Average APR rating percentages across academic units at UTK for 2013-14 and 2014-15</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077"/>
        <w:gridCol w:w="1484"/>
        <w:gridCol w:w="1317"/>
        <w:gridCol w:w="1050"/>
        <w:gridCol w:w="1402"/>
        <w:gridCol w:w="1413"/>
      </w:tblGrid>
      <w:tr w:rsidR="008B5B4B" w:rsidRPr="00EC07F1" w:rsidTr="005A108F">
        <w:tc>
          <w:tcPr>
            <w:tcW w:w="1293" w:type="dxa"/>
            <w:tcBorders>
              <w:top w:val="single" w:sz="4" w:space="0" w:color="auto"/>
              <w:bottom w:val="single" w:sz="4" w:space="0" w:color="auto"/>
            </w:tcBorders>
          </w:tcPr>
          <w:p w:rsidR="00AA7E8F" w:rsidRPr="00EC07F1" w:rsidRDefault="00AA7E8F" w:rsidP="004A6E08">
            <w:pPr>
              <w:pStyle w:val="BodyText"/>
              <w:spacing w:before="0"/>
              <w:ind w:firstLine="0"/>
              <w:rPr>
                <w:rFonts w:cs="Tahoma"/>
                <w:sz w:val="20"/>
              </w:rPr>
            </w:pPr>
          </w:p>
          <w:p w:rsidR="008B5B4B" w:rsidRPr="00EC07F1" w:rsidRDefault="008B5B4B" w:rsidP="004A6E08">
            <w:pPr>
              <w:pStyle w:val="BodyText"/>
              <w:spacing w:before="0"/>
              <w:ind w:firstLine="0"/>
              <w:rPr>
                <w:rFonts w:cs="Tahoma"/>
                <w:sz w:val="20"/>
              </w:rPr>
            </w:pPr>
            <w:r w:rsidRPr="00EC07F1">
              <w:rPr>
                <w:rFonts w:cs="Tahoma"/>
                <w:sz w:val="20"/>
              </w:rPr>
              <w:t>Year</w:t>
            </w:r>
          </w:p>
        </w:tc>
        <w:tc>
          <w:tcPr>
            <w:tcW w:w="1077" w:type="dxa"/>
            <w:tcBorders>
              <w:top w:val="single" w:sz="4" w:space="0" w:color="auto"/>
              <w:bottom w:val="single" w:sz="4" w:space="0" w:color="auto"/>
            </w:tcBorders>
          </w:tcPr>
          <w:p w:rsidR="008B5B4B" w:rsidRPr="00EC07F1" w:rsidRDefault="008B5B4B" w:rsidP="00010EC2">
            <w:pPr>
              <w:pStyle w:val="BodyText"/>
              <w:spacing w:before="0"/>
              <w:ind w:left="51" w:firstLine="0"/>
              <w:jc w:val="center"/>
              <w:rPr>
                <w:rFonts w:cs="Tahoma"/>
                <w:sz w:val="20"/>
              </w:rPr>
            </w:pPr>
            <w:r w:rsidRPr="00EC07F1">
              <w:rPr>
                <w:rFonts w:cs="Tahoma"/>
                <w:sz w:val="20"/>
              </w:rPr>
              <w:t>Far Exceeds</w:t>
            </w:r>
          </w:p>
        </w:tc>
        <w:tc>
          <w:tcPr>
            <w:tcW w:w="1484" w:type="dxa"/>
            <w:tcBorders>
              <w:top w:val="single" w:sz="4" w:space="0" w:color="auto"/>
              <w:bottom w:val="single" w:sz="4" w:space="0" w:color="auto"/>
            </w:tcBorders>
          </w:tcPr>
          <w:p w:rsidR="008B5B4B" w:rsidRPr="00EC07F1" w:rsidRDefault="008B5B4B" w:rsidP="00010EC2">
            <w:pPr>
              <w:pStyle w:val="BodyText"/>
              <w:spacing w:before="0"/>
              <w:ind w:left="167" w:firstLine="0"/>
              <w:jc w:val="center"/>
              <w:rPr>
                <w:rFonts w:cs="Tahoma"/>
                <w:sz w:val="20"/>
              </w:rPr>
            </w:pPr>
            <w:r w:rsidRPr="00EC07F1">
              <w:rPr>
                <w:rFonts w:cs="Tahoma"/>
                <w:sz w:val="20"/>
              </w:rPr>
              <w:t>Exceeds</w:t>
            </w:r>
            <w:r w:rsidR="00010EC2" w:rsidRPr="00EC07F1">
              <w:rPr>
                <w:rFonts w:cs="Tahoma"/>
                <w:sz w:val="20"/>
              </w:rPr>
              <w:t xml:space="preserve"> Expectations</w:t>
            </w:r>
          </w:p>
        </w:tc>
        <w:tc>
          <w:tcPr>
            <w:tcW w:w="1317" w:type="dxa"/>
            <w:tcBorders>
              <w:top w:val="single" w:sz="4" w:space="0" w:color="auto"/>
              <w:bottom w:val="single" w:sz="4" w:space="0" w:color="auto"/>
            </w:tcBorders>
          </w:tcPr>
          <w:p w:rsidR="008B5B4B" w:rsidRPr="00EC07F1" w:rsidRDefault="008B5B4B" w:rsidP="00010EC2">
            <w:pPr>
              <w:pStyle w:val="BodyText"/>
              <w:spacing w:before="0"/>
              <w:ind w:firstLine="0"/>
              <w:jc w:val="center"/>
              <w:rPr>
                <w:rFonts w:cs="Tahoma"/>
                <w:sz w:val="20"/>
              </w:rPr>
            </w:pPr>
            <w:r w:rsidRPr="00EC07F1">
              <w:rPr>
                <w:rFonts w:cs="Tahoma"/>
                <w:sz w:val="20"/>
              </w:rPr>
              <w:t>Meets</w:t>
            </w:r>
            <w:r w:rsidR="00010EC2" w:rsidRPr="00EC07F1">
              <w:rPr>
                <w:rFonts w:cs="Tahoma"/>
                <w:sz w:val="20"/>
              </w:rPr>
              <w:t xml:space="preserve"> Expectations</w:t>
            </w:r>
          </w:p>
        </w:tc>
        <w:tc>
          <w:tcPr>
            <w:tcW w:w="1050" w:type="dxa"/>
            <w:tcBorders>
              <w:top w:val="single" w:sz="4" w:space="0" w:color="auto"/>
              <w:bottom w:val="single" w:sz="4" w:space="0" w:color="auto"/>
            </w:tcBorders>
          </w:tcPr>
          <w:p w:rsidR="008B5B4B" w:rsidRPr="00EC07F1" w:rsidRDefault="00010EC2" w:rsidP="00010EC2">
            <w:pPr>
              <w:pStyle w:val="BodyText"/>
              <w:spacing w:before="0"/>
              <w:ind w:firstLine="0"/>
              <w:jc w:val="center"/>
              <w:rPr>
                <w:rFonts w:cs="Tahoma"/>
                <w:sz w:val="20"/>
              </w:rPr>
            </w:pPr>
            <w:r w:rsidRPr="00EC07F1">
              <w:rPr>
                <w:rFonts w:cs="Tahoma"/>
                <w:sz w:val="20"/>
              </w:rPr>
              <w:t xml:space="preserve">Falls </w:t>
            </w:r>
            <w:r w:rsidR="008B5B4B" w:rsidRPr="00EC07F1">
              <w:rPr>
                <w:rFonts w:cs="Tahoma"/>
                <w:sz w:val="20"/>
              </w:rPr>
              <w:t>Short</w:t>
            </w:r>
          </w:p>
        </w:tc>
        <w:tc>
          <w:tcPr>
            <w:tcW w:w="1402" w:type="dxa"/>
            <w:tcBorders>
              <w:top w:val="single" w:sz="4" w:space="0" w:color="auto"/>
              <w:bottom w:val="single" w:sz="4" w:space="0" w:color="auto"/>
            </w:tcBorders>
          </w:tcPr>
          <w:p w:rsidR="008B5B4B" w:rsidRPr="00EC07F1" w:rsidRDefault="00010EC2" w:rsidP="00010EC2">
            <w:pPr>
              <w:pStyle w:val="BodyText"/>
              <w:spacing w:before="0"/>
              <w:ind w:left="257" w:firstLine="0"/>
              <w:rPr>
                <w:rFonts w:cs="Tahoma"/>
                <w:sz w:val="20"/>
              </w:rPr>
            </w:pPr>
            <w:r w:rsidRPr="00EC07F1">
              <w:rPr>
                <w:rFonts w:cs="Tahoma"/>
                <w:sz w:val="20"/>
              </w:rPr>
              <w:t>Falls F</w:t>
            </w:r>
            <w:r w:rsidR="008B5B4B" w:rsidRPr="00EC07F1">
              <w:rPr>
                <w:rFonts w:cs="Tahoma"/>
                <w:sz w:val="20"/>
              </w:rPr>
              <w:t xml:space="preserve">ar </w:t>
            </w:r>
            <w:r w:rsidRPr="00EC07F1">
              <w:rPr>
                <w:rFonts w:cs="Tahoma"/>
                <w:sz w:val="20"/>
              </w:rPr>
              <w:t>S</w:t>
            </w:r>
            <w:r w:rsidR="008B5B4B" w:rsidRPr="00EC07F1">
              <w:rPr>
                <w:rFonts w:cs="Tahoma"/>
                <w:sz w:val="20"/>
              </w:rPr>
              <w:t>hort</w:t>
            </w:r>
          </w:p>
        </w:tc>
        <w:tc>
          <w:tcPr>
            <w:tcW w:w="1413" w:type="dxa"/>
            <w:tcBorders>
              <w:top w:val="single" w:sz="4" w:space="0" w:color="auto"/>
              <w:bottom w:val="single" w:sz="4" w:space="0" w:color="auto"/>
            </w:tcBorders>
          </w:tcPr>
          <w:p w:rsidR="008B5B4B" w:rsidRPr="00EC07F1" w:rsidRDefault="008B5B4B" w:rsidP="00010EC2">
            <w:pPr>
              <w:pStyle w:val="BodyText"/>
              <w:spacing w:before="0"/>
              <w:ind w:left="167" w:firstLine="0"/>
              <w:rPr>
                <w:rFonts w:cs="Tahoma"/>
                <w:sz w:val="20"/>
              </w:rPr>
            </w:pPr>
            <w:r w:rsidRPr="00EC07F1">
              <w:rPr>
                <w:rFonts w:cs="Tahoma"/>
                <w:sz w:val="20"/>
              </w:rPr>
              <w:t xml:space="preserve">Number of </w:t>
            </w:r>
            <w:r w:rsidR="00010EC2" w:rsidRPr="00EC07F1">
              <w:rPr>
                <w:rFonts w:cs="Tahoma"/>
                <w:sz w:val="20"/>
              </w:rPr>
              <w:t>F</w:t>
            </w:r>
            <w:r w:rsidRPr="00EC07F1">
              <w:rPr>
                <w:rFonts w:cs="Tahoma"/>
                <w:sz w:val="20"/>
              </w:rPr>
              <w:t>aculty</w:t>
            </w:r>
          </w:p>
        </w:tc>
      </w:tr>
      <w:tr w:rsidR="008B5B4B" w:rsidRPr="00EC07F1" w:rsidTr="005A108F">
        <w:tc>
          <w:tcPr>
            <w:tcW w:w="1293" w:type="dxa"/>
            <w:tcBorders>
              <w:top w:val="single" w:sz="4" w:space="0" w:color="auto"/>
            </w:tcBorders>
          </w:tcPr>
          <w:p w:rsidR="008B5B4B" w:rsidRPr="00EC07F1" w:rsidRDefault="008B5B4B" w:rsidP="004A6E08">
            <w:pPr>
              <w:pStyle w:val="BodyText"/>
              <w:spacing w:before="0"/>
              <w:ind w:firstLine="0"/>
              <w:rPr>
                <w:rFonts w:cs="Tahoma"/>
                <w:sz w:val="20"/>
              </w:rPr>
            </w:pPr>
            <w:r w:rsidRPr="00EC07F1">
              <w:rPr>
                <w:rFonts w:cs="Tahoma"/>
                <w:sz w:val="20"/>
              </w:rPr>
              <w:t>2013-2014</w:t>
            </w:r>
          </w:p>
        </w:tc>
        <w:tc>
          <w:tcPr>
            <w:tcW w:w="1077" w:type="dxa"/>
            <w:tcBorders>
              <w:top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21%</w:t>
            </w:r>
          </w:p>
        </w:tc>
        <w:tc>
          <w:tcPr>
            <w:tcW w:w="1484" w:type="dxa"/>
            <w:tcBorders>
              <w:top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47%</w:t>
            </w:r>
          </w:p>
        </w:tc>
        <w:tc>
          <w:tcPr>
            <w:tcW w:w="1317" w:type="dxa"/>
            <w:tcBorders>
              <w:top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30%</w:t>
            </w:r>
          </w:p>
        </w:tc>
        <w:tc>
          <w:tcPr>
            <w:tcW w:w="1050" w:type="dxa"/>
            <w:tcBorders>
              <w:top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1%</w:t>
            </w:r>
          </w:p>
        </w:tc>
        <w:tc>
          <w:tcPr>
            <w:tcW w:w="1402" w:type="dxa"/>
            <w:tcBorders>
              <w:top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1%</w:t>
            </w:r>
          </w:p>
        </w:tc>
        <w:tc>
          <w:tcPr>
            <w:tcW w:w="1413" w:type="dxa"/>
            <w:tcBorders>
              <w:top w:val="single" w:sz="4" w:space="0" w:color="auto"/>
            </w:tcBorders>
          </w:tcPr>
          <w:p w:rsidR="008B5B4B" w:rsidRPr="00EC07F1" w:rsidRDefault="00381162" w:rsidP="008B5B4B">
            <w:pPr>
              <w:pStyle w:val="BodyText"/>
              <w:spacing w:before="0"/>
              <w:ind w:firstLine="0"/>
              <w:jc w:val="center"/>
              <w:rPr>
                <w:rFonts w:cs="Tahoma"/>
                <w:sz w:val="20"/>
              </w:rPr>
            </w:pPr>
            <w:r w:rsidRPr="00EC07F1">
              <w:rPr>
                <w:rFonts w:cs="Tahoma"/>
                <w:sz w:val="20"/>
              </w:rPr>
              <w:t>1148</w:t>
            </w:r>
          </w:p>
        </w:tc>
      </w:tr>
      <w:tr w:rsidR="008B5B4B" w:rsidRPr="00EC07F1" w:rsidTr="005A108F">
        <w:tc>
          <w:tcPr>
            <w:tcW w:w="1293" w:type="dxa"/>
            <w:tcBorders>
              <w:bottom w:val="single" w:sz="4" w:space="0" w:color="auto"/>
            </w:tcBorders>
          </w:tcPr>
          <w:p w:rsidR="008B5B4B" w:rsidRPr="00EC07F1" w:rsidRDefault="008B5B4B" w:rsidP="004A6E08">
            <w:pPr>
              <w:pStyle w:val="BodyText"/>
              <w:spacing w:before="0"/>
              <w:ind w:firstLine="0"/>
              <w:rPr>
                <w:rFonts w:cs="Tahoma"/>
                <w:sz w:val="20"/>
              </w:rPr>
            </w:pPr>
            <w:r w:rsidRPr="00EC07F1">
              <w:rPr>
                <w:rFonts w:cs="Tahoma"/>
                <w:sz w:val="20"/>
              </w:rPr>
              <w:t>2014-2015</w:t>
            </w:r>
          </w:p>
        </w:tc>
        <w:tc>
          <w:tcPr>
            <w:tcW w:w="1077"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13%</w:t>
            </w:r>
          </w:p>
        </w:tc>
        <w:tc>
          <w:tcPr>
            <w:tcW w:w="1484"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45%</w:t>
            </w:r>
          </w:p>
        </w:tc>
        <w:tc>
          <w:tcPr>
            <w:tcW w:w="1317"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41%</w:t>
            </w:r>
          </w:p>
        </w:tc>
        <w:tc>
          <w:tcPr>
            <w:tcW w:w="1050"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1%</w:t>
            </w:r>
          </w:p>
        </w:tc>
        <w:tc>
          <w:tcPr>
            <w:tcW w:w="1402"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0%</w:t>
            </w:r>
          </w:p>
        </w:tc>
        <w:tc>
          <w:tcPr>
            <w:tcW w:w="1413" w:type="dxa"/>
            <w:tcBorders>
              <w:bottom w:val="single" w:sz="4" w:space="0" w:color="auto"/>
            </w:tcBorders>
          </w:tcPr>
          <w:p w:rsidR="008B5B4B" w:rsidRPr="00EC07F1" w:rsidRDefault="008B5B4B" w:rsidP="008B5B4B">
            <w:pPr>
              <w:pStyle w:val="BodyText"/>
              <w:spacing w:before="0"/>
              <w:ind w:firstLine="0"/>
              <w:jc w:val="center"/>
              <w:rPr>
                <w:rFonts w:cs="Tahoma"/>
                <w:sz w:val="20"/>
              </w:rPr>
            </w:pPr>
            <w:r w:rsidRPr="00EC07F1">
              <w:rPr>
                <w:rFonts w:cs="Tahoma"/>
                <w:sz w:val="20"/>
              </w:rPr>
              <w:t>880</w:t>
            </w:r>
            <w:r w:rsidR="00940A5B" w:rsidRPr="00EC07F1">
              <w:rPr>
                <w:rFonts w:cs="Tahoma"/>
                <w:sz w:val="20"/>
              </w:rPr>
              <w:t>*</w:t>
            </w:r>
          </w:p>
        </w:tc>
      </w:tr>
    </w:tbl>
    <w:p w:rsidR="00F553B7" w:rsidRDefault="00940A5B" w:rsidP="005A108F">
      <w:pPr>
        <w:pStyle w:val="BodyText"/>
        <w:tabs>
          <w:tab w:val="left" w:pos="720"/>
        </w:tabs>
        <w:spacing w:before="0"/>
        <w:ind w:left="360" w:hanging="360"/>
        <w:rPr>
          <w:rFonts w:cs="Tahoma"/>
          <w:b/>
          <w:caps/>
          <w:sz w:val="20"/>
        </w:rPr>
      </w:pPr>
      <w:r w:rsidRPr="00EC07F1">
        <w:rPr>
          <w:rFonts w:cs="Tahoma"/>
          <w:b/>
          <w:caps/>
        </w:rPr>
        <w:tab/>
      </w:r>
      <w:r w:rsidRPr="00EC07F1">
        <w:rPr>
          <w:rFonts w:cs="Tahoma"/>
          <w:b/>
          <w:caps/>
        </w:rPr>
        <w:tab/>
      </w:r>
      <w:r w:rsidR="00EC07F1" w:rsidRPr="00EC07F1">
        <w:rPr>
          <w:rFonts w:cs="Tahoma"/>
          <w:caps/>
          <w:sz w:val="20"/>
        </w:rPr>
        <w:t>*</w:t>
      </w:r>
      <w:r w:rsidR="00EC07F1" w:rsidRPr="00EC07F1">
        <w:rPr>
          <w:rFonts w:cs="Tahoma"/>
          <w:sz w:val="18"/>
        </w:rPr>
        <w:t>Data for UTIA units not received yet for 2014-15.</w:t>
      </w:r>
      <w:r>
        <w:rPr>
          <w:rFonts w:cs="Tahoma"/>
          <w:b/>
          <w:caps/>
          <w:sz w:val="20"/>
        </w:rPr>
        <w:tab/>
      </w:r>
    </w:p>
    <w:p w:rsidR="002458BF" w:rsidRDefault="002458BF" w:rsidP="005B21E2">
      <w:pPr>
        <w:pStyle w:val="BodyText"/>
        <w:spacing w:before="0"/>
        <w:ind w:left="360" w:hanging="360"/>
        <w:rPr>
          <w:rFonts w:cs="Tahoma"/>
          <w:b/>
          <w:caps/>
          <w:sz w:val="20"/>
        </w:rPr>
      </w:pPr>
    </w:p>
    <w:p w:rsidR="005A108F" w:rsidRDefault="005A108F" w:rsidP="005B21E2">
      <w:pPr>
        <w:pStyle w:val="BodyText"/>
        <w:spacing w:before="0"/>
        <w:ind w:left="360" w:hanging="360"/>
        <w:rPr>
          <w:rFonts w:cs="Tahoma"/>
          <w:b/>
          <w:caps/>
          <w:sz w:val="20"/>
        </w:rPr>
      </w:pPr>
    </w:p>
    <w:p w:rsidR="00010EC2" w:rsidRPr="000837B6" w:rsidRDefault="00786C66" w:rsidP="000837B6">
      <w:pPr>
        <w:pStyle w:val="BodyText"/>
        <w:spacing w:before="0"/>
        <w:ind w:firstLine="0"/>
        <w:rPr>
          <w:rFonts w:cs="Tahoma"/>
          <w:b/>
          <w:caps/>
          <w:sz w:val="20"/>
          <w:szCs w:val="18"/>
        </w:rPr>
      </w:pPr>
      <w:bookmarkStart w:id="0" w:name="_GoBack"/>
      <w:bookmarkEnd w:id="0"/>
      <w:r>
        <w:rPr>
          <w:rFonts w:cs="Tahoma"/>
          <w:sz w:val="20"/>
          <w:szCs w:val="18"/>
        </w:rPr>
        <w:t xml:space="preserve">DRAFT - </w:t>
      </w:r>
      <w:r w:rsidR="00010EC2" w:rsidRPr="000837B6">
        <w:rPr>
          <w:rFonts w:cs="Tahoma"/>
          <w:sz w:val="20"/>
          <w:szCs w:val="18"/>
        </w:rPr>
        <w:t xml:space="preserve">Table </w:t>
      </w:r>
      <w:r>
        <w:rPr>
          <w:rFonts w:cs="Tahoma"/>
          <w:sz w:val="20"/>
          <w:szCs w:val="18"/>
        </w:rPr>
        <w:t>2</w:t>
      </w:r>
      <w:proofErr w:type="gramStart"/>
      <w:r w:rsidR="00010EC2" w:rsidRPr="000837B6">
        <w:rPr>
          <w:rFonts w:cs="Tahoma"/>
          <w:caps/>
          <w:sz w:val="20"/>
          <w:szCs w:val="18"/>
        </w:rPr>
        <w:t xml:space="preserve">. </w:t>
      </w:r>
      <w:r w:rsidR="00B205D3" w:rsidRPr="000837B6">
        <w:rPr>
          <w:rFonts w:cs="Tahoma"/>
          <w:caps/>
          <w:sz w:val="20"/>
          <w:szCs w:val="18"/>
        </w:rPr>
        <w:t xml:space="preserve"> </w:t>
      </w:r>
      <w:proofErr w:type="gramEnd"/>
      <w:r w:rsidR="00010EC2" w:rsidRPr="000837B6">
        <w:rPr>
          <w:rFonts w:cs="Tahoma"/>
          <w:sz w:val="20"/>
          <w:szCs w:val="18"/>
        </w:rPr>
        <w:t>Average APR rating percentages across academic units at UTK for 2013-14</w:t>
      </w:r>
      <w:r w:rsidR="002458BF" w:rsidRPr="000837B6">
        <w:rPr>
          <w:rFonts w:cs="Tahoma"/>
          <w:sz w:val="20"/>
          <w:szCs w:val="18"/>
        </w:rPr>
        <w:t xml:space="preserve"> and 2014-2015</w:t>
      </w:r>
    </w:p>
    <w:tbl>
      <w:tblPr>
        <w:tblStyle w:val="TableGrid"/>
        <w:tblW w:w="0" w:type="auto"/>
        <w:tblLayout w:type="fixed"/>
        <w:tblLook w:val="04A0" w:firstRow="1" w:lastRow="0" w:firstColumn="1" w:lastColumn="0" w:noHBand="0" w:noVBand="1"/>
      </w:tblPr>
      <w:tblGrid>
        <w:gridCol w:w="2070"/>
        <w:gridCol w:w="900"/>
        <w:gridCol w:w="990"/>
        <w:gridCol w:w="1440"/>
        <w:gridCol w:w="1260"/>
        <w:gridCol w:w="1170"/>
        <w:gridCol w:w="1440"/>
      </w:tblGrid>
      <w:tr w:rsidR="005A108F" w:rsidRPr="00B37130" w:rsidTr="005A108F">
        <w:trPr>
          <w:trHeight w:val="467"/>
        </w:trPr>
        <w:tc>
          <w:tcPr>
            <w:tcW w:w="2070" w:type="dxa"/>
            <w:tcBorders>
              <w:top w:val="single" w:sz="4" w:space="0" w:color="auto"/>
              <w:left w:val="nil"/>
              <w:bottom w:val="single" w:sz="4" w:space="0" w:color="auto"/>
              <w:right w:val="nil"/>
            </w:tcBorders>
            <w:vAlign w:val="center"/>
          </w:tcPr>
          <w:p w:rsidR="005A108F" w:rsidRPr="005A108F" w:rsidRDefault="005A108F" w:rsidP="00B205D3">
            <w:pPr>
              <w:pStyle w:val="BodyText"/>
              <w:spacing w:before="0"/>
              <w:ind w:firstLine="0"/>
              <w:jc w:val="center"/>
              <w:rPr>
                <w:rFonts w:cs="Tahoma"/>
                <w:sz w:val="18"/>
                <w:szCs w:val="18"/>
              </w:rPr>
            </w:pPr>
            <w:r w:rsidRPr="005A108F">
              <w:rPr>
                <w:rFonts w:cs="Tahoma"/>
                <w:sz w:val="18"/>
                <w:szCs w:val="18"/>
              </w:rPr>
              <w:t>College/Unit</w:t>
            </w:r>
          </w:p>
        </w:tc>
        <w:tc>
          <w:tcPr>
            <w:tcW w:w="900" w:type="dxa"/>
            <w:tcBorders>
              <w:top w:val="single" w:sz="4" w:space="0" w:color="auto"/>
              <w:left w:val="nil"/>
              <w:bottom w:val="single" w:sz="4" w:space="0" w:color="auto"/>
              <w:right w:val="nil"/>
            </w:tcBorders>
            <w:vAlign w:val="center"/>
          </w:tcPr>
          <w:p w:rsidR="005A108F" w:rsidRPr="005A108F" w:rsidRDefault="005A108F" w:rsidP="00B205D3">
            <w:pPr>
              <w:pStyle w:val="BodyText"/>
              <w:spacing w:before="0"/>
              <w:ind w:firstLine="0"/>
              <w:jc w:val="center"/>
              <w:rPr>
                <w:rFonts w:cs="Tahoma"/>
                <w:sz w:val="18"/>
                <w:szCs w:val="18"/>
              </w:rPr>
            </w:pPr>
            <w:r w:rsidRPr="005A108F">
              <w:rPr>
                <w:rFonts w:cs="Tahoma"/>
                <w:sz w:val="18"/>
                <w:szCs w:val="18"/>
              </w:rPr>
              <w:t>Year</w:t>
            </w:r>
          </w:p>
        </w:tc>
        <w:tc>
          <w:tcPr>
            <w:tcW w:w="990" w:type="dxa"/>
            <w:tcBorders>
              <w:top w:val="single" w:sz="4" w:space="0" w:color="auto"/>
              <w:left w:val="nil"/>
              <w:bottom w:val="single" w:sz="4" w:space="0" w:color="auto"/>
              <w:right w:val="nil"/>
            </w:tcBorders>
          </w:tcPr>
          <w:p w:rsidR="005A108F" w:rsidRPr="005A108F" w:rsidRDefault="005A108F" w:rsidP="005A108F">
            <w:pPr>
              <w:pStyle w:val="BodyText"/>
              <w:spacing w:before="0"/>
              <w:ind w:left="-18" w:firstLine="0"/>
              <w:jc w:val="center"/>
              <w:rPr>
                <w:rFonts w:cs="Tahoma"/>
                <w:sz w:val="18"/>
                <w:szCs w:val="18"/>
              </w:rPr>
            </w:pPr>
            <w:r w:rsidRPr="005A108F">
              <w:rPr>
                <w:rFonts w:cs="Tahoma"/>
                <w:sz w:val="18"/>
                <w:szCs w:val="18"/>
              </w:rPr>
              <w:t>Far Exceeds</w:t>
            </w:r>
          </w:p>
        </w:tc>
        <w:tc>
          <w:tcPr>
            <w:tcW w:w="1440" w:type="dxa"/>
            <w:tcBorders>
              <w:top w:val="single" w:sz="4" w:space="0" w:color="auto"/>
              <w:left w:val="nil"/>
              <w:bottom w:val="single" w:sz="4" w:space="0" w:color="auto"/>
              <w:right w:val="nil"/>
            </w:tcBorders>
          </w:tcPr>
          <w:p w:rsidR="005A108F" w:rsidRPr="005A108F" w:rsidRDefault="005A108F" w:rsidP="005A108F">
            <w:pPr>
              <w:pStyle w:val="BodyText"/>
              <w:spacing w:before="0"/>
              <w:ind w:firstLine="0"/>
              <w:jc w:val="center"/>
              <w:rPr>
                <w:rFonts w:cs="Tahoma"/>
                <w:sz w:val="18"/>
                <w:szCs w:val="18"/>
              </w:rPr>
            </w:pPr>
            <w:r w:rsidRPr="005A108F">
              <w:rPr>
                <w:rFonts w:cs="Tahoma"/>
                <w:sz w:val="18"/>
                <w:szCs w:val="18"/>
              </w:rPr>
              <w:t>Exceeds Expectations</w:t>
            </w:r>
          </w:p>
        </w:tc>
        <w:tc>
          <w:tcPr>
            <w:tcW w:w="1260" w:type="dxa"/>
            <w:tcBorders>
              <w:top w:val="single" w:sz="4" w:space="0" w:color="auto"/>
              <w:left w:val="nil"/>
              <w:bottom w:val="single" w:sz="4" w:space="0" w:color="auto"/>
              <w:right w:val="nil"/>
            </w:tcBorders>
          </w:tcPr>
          <w:p w:rsidR="005A108F" w:rsidRPr="005A108F" w:rsidRDefault="005A108F" w:rsidP="00B205D3">
            <w:pPr>
              <w:pStyle w:val="BodyText"/>
              <w:spacing w:before="0"/>
              <w:ind w:firstLine="0"/>
              <w:jc w:val="center"/>
              <w:rPr>
                <w:rFonts w:cs="Tahoma"/>
                <w:sz w:val="18"/>
                <w:szCs w:val="18"/>
              </w:rPr>
            </w:pPr>
            <w:r w:rsidRPr="005A108F">
              <w:rPr>
                <w:rFonts w:cs="Tahoma"/>
                <w:sz w:val="18"/>
                <w:szCs w:val="18"/>
              </w:rPr>
              <w:t>Meets Expectations</w:t>
            </w:r>
          </w:p>
        </w:tc>
        <w:tc>
          <w:tcPr>
            <w:tcW w:w="1170" w:type="dxa"/>
            <w:tcBorders>
              <w:top w:val="single" w:sz="4" w:space="0" w:color="auto"/>
              <w:left w:val="nil"/>
              <w:bottom w:val="single" w:sz="4" w:space="0" w:color="auto"/>
              <w:right w:val="nil"/>
            </w:tcBorders>
          </w:tcPr>
          <w:p w:rsidR="005A108F" w:rsidRPr="005A108F" w:rsidRDefault="005A108F" w:rsidP="005A108F">
            <w:pPr>
              <w:pStyle w:val="BodyText"/>
              <w:spacing w:before="0"/>
              <w:ind w:left="-18" w:firstLine="0"/>
              <w:jc w:val="center"/>
              <w:rPr>
                <w:rFonts w:cs="Tahoma"/>
                <w:sz w:val="18"/>
                <w:szCs w:val="18"/>
              </w:rPr>
            </w:pPr>
            <w:r w:rsidRPr="005A108F">
              <w:rPr>
                <w:rFonts w:cs="Tahoma"/>
                <w:sz w:val="18"/>
                <w:szCs w:val="18"/>
              </w:rPr>
              <w:t>Falls Short</w:t>
            </w:r>
          </w:p>
        </w:tc>
        <w:tc>
          <w:tcPr>
            <w:tcW w:w="1440" w:type="dxa"/>
            <w:tcBorders>
              <w:top w:val="single" w:sz="4" w:space="0" w:color="auto"/>
              <w:left w:val="nil"/>
              <w:bottom w:val="single" w:sz="4" w:space="0" w:color="auto"/>
              <w:right w:val="nil"/>
            </w:tcBorders>
          </w:tcPr>
          <w:p w:rsidR="005A108F" w:rsidRDefault="005A108F" w:rsidP="005A108F">
            <w:pPr>
              <w:pStyle w:val="BodyText"/>
              <w:spacing w:before="0"/>
              <w:ind w:firstLine="0"/>
              <w:jc w:val="center"/>
              <w:rPr>
                <w:rFonts w:cs="Tahoma"/>
                <w:sz w:val="18"/>
                <w:szCs w:val="18"/>
              </w:rPr>
            </w:pPr>
            <w:r w:rsidRPr="005A108F">
              <w:rPr>
                <w:rFonts w:cs="Tahoma"/>
                <w:sz w:val="18"/>
                <w:szCs w:val="18"/>
              </w:rPr>
              <w:t>Falls Far</w:t>
            </w:r>
          </w:p>
          <w:p w:rsidR="005A108F" w:rsidRPr="005A108F" w:rsidRDefault="005A108F" w:rsidP="005A108F">
            <w:pPr>
              <w:pStyle w:val="BodyText"/>
              <w:spacing w:before="0"/>
              <w:ind w:left="80" w:right="104" w:firstLine="0"/>
              <w:jc w:val="center"/>
              <w:rPr>
                <w:rFonts w:cs="Tahoma"/>
                <w:sz w:val="18"/>
                <w:szCs w:val="18"/>
              </w:rPr>
            </w:pPr>
            <w:r w:rsidRPr="005A108F">
              <w:rPr>
                <w:rFonts w:cs="Tahoma"/>
                <w:sz w:val="18"/>
                <w:szCs w:val="18"/>
              </w:rPr>
              <w:t>Short</w:t>
            </w:r>
          </w:p>
        </w:tc>
      </w:tr>
      <w:tr w:rsidR="005A108F" w:rsidRPr="00010EC2" w:rsidTr="005A108F">
        <w:tc>
          <w:tcPr>
            <w:tcW w:w="2070" w:type="dxa"/>
            <w:vMerge w:val="restart"/>
            <w:tcBorders>
              <w:top w:val="single" w:sz="4" w:space="0" w:color="auto"/>
              <w:left w:val="nil"/>
              <w:bottom w:val="single" w:sz="4" w:space="0" w:color="auto"/>
              <w:right w:val="nil"/>
            </w:tcBorders>
            <w:vAlign w:val="center"/>
          </w:tcPr>
          <w:p w:rsidR="005A108F" w:rsidRPr="00AA7E8F" w:rsidRDefault="005A108F" w:rsidP="00AA7E8F">
            <w:pPr>
              <w:pStyle w:val="BodyText"/>
              <w:spacing w:before="0"/>
              <w:ind w:firstLine="0"/>
              <w:rPr>
                <w:rFonts w:cs="Tahoma"/>
                <w:sz w:val="16"/>
              </w:rPr>
            </w:pPr>
            <w:r w:rsidRPr="005A108F">
              <w:rPr>
                <w:rFonts w:cs="Tahoma"/>
                <w:sz w:val="18"/>
              </w:rPr>
              <w:t>Agricultural Sciences &amp; Natural Resources/ AgResearch/ Extension</w:t>
            </w:r>
          </w:p>
        </w:tc>
        <w:tc>
          <w:tcPr>
            <w:tcW w:w="900" w:type="dxa"/>
            <w:tcBorders>
              <w:top w:val="single" w:sz="4" w:space="0" w:color="auto"/>
              <w:left w:val="nil"/>
              <w:bottom w:val="nil"/>
              <w:right w:val="nil"/>
            </w:tcBorders>
            <w:vAlign w:val="center"/>
          </w:tcPr>
          <w:p w:rsidR="005A108F" w:rsidRPr="00AA7E8F" w:rsidRDefault="005A108F" w:rsidP="0079665F">
            <w:pPr>
              <w:pStyle w:val="BodyText"/>
              <w:spacing w:before="0"/>
              <w:ind w:firstLine="0"/>
              <w:jc w:val="center"/>
              <w:rPr>
                <w:rFonts w:cs="Tahoma"/>
                <w:sz w:val="16"/>
              </w:rPr>
            </w:pPr>
            <w:r w:rsidRPr="00AA7E8F">
              <w:rPr>
                <w:rFonts w:cs="Tahoma"/>
                <w:sz w:val="16"/>
              </w:rPr>
              <w:t>2013</w:t>
            </w:r>
          </w:p>
        </w:tc>
        <w:tc>
          <w:tcPr>
            <w:tcW w:w="990" w:type="dxa"/>
            <w:tcBorders>
              <w:top w:val="single" w:sz="4" w:space="0" w:color="auto"/>
              <w:left w:val="nil"/>
              <w:bottom w:val="nil"/>
              <w:right w:val="nil"/>
            </w:tcBorders>
            <w:vAlign w:val="center"/>
          </w:tcPr>
          <w:p w:rsidR="005A108F" w:rsidRPr="00B37130" w:rsidRDefault="005A108F" w:rsidP="003F5DBB">
            <w:pPr>
              <w:pStyle w:val="BodyText"/>
              <w:spacing w:before="0"/>
              <w:ind w:firstLine="0"/>
              <w:jc w:val="center"/>
              <w:rPr>
                <w:rFonts w:cs="Tahoma"/>
                <w:sz w:val="18"/>
                <w:szCs w:val="18"/>
              </w:rPr>
            </w:pPr>
            <w:r w:rsidRPr="00B37130">
              <w:rPr>
                <w:rFonts w:cs="Tahoma"/>
                <w:sz w:val="18"/>
                <w:szCs w:val="18"/>
              </w:rPr>
              <w:t>18%</w:t>
            </w:r>
          </w:p>
        </w:tc>
        <w:tc>
          <w:tcPr>
            <w:tcW w:w="1440" w:type="dxa"/>
            <w:tcBorders>
              <w:top w:val="single" w:sz="4" w:space="0" w:color="auto"/>
              <w:left w:val="nil"/>
              <w:bottom w:val="nil"/>
              <w:right w:val="nil"/>
            </w:tcBorders>
            <w:vAlign w:val="center"/>
          </w:tcPr>
          <w:p w:rsidR="005A108F" w:rsidRPr="00B37130" w:rsidRDefault="005A108F" w:rsidP="003F5DBB">
            <w:pPr>
              <w:pStyle w:val="BodyText"/>
              <w:spacing w:before="0"/>
              <w:ind w:firstLine="0"/>
              <w:jc w:val="center"/>
              <w:rPr>
                <w:rFonts w:cs="Tahoma"/>
                <w:sz w:val="18"/>
                <w:szCs w:val="18"/>
              </w:rPr>
            </w:pPr>
            <w:r w:rsidRPr="00B37130">
              <w:rPr>
                <w:rFonts w:cs="Tahoma"/>
                <w:sz w:val="18"/>
                <w:szCs w:val="18"/>
              </w:rPr>
              <w:t>50%</w:t>
            </w:r>
          </w:p>
        </w:tc>
        <w:tc>
          <w:tcPr>
            <w:tcW w:w="1260" w:type="dxa"/>
            <w:tcBorders>
              <w:top w:val="single" w:sz="4" w:space="0" w:color="auto"/>
              <w:left w:val="nil"/>
              <w:bottom w:val="nil"/>
              <w:right w:val="nil"/>
            </w:tcBorders>
            <w:vAlign w:val="center"/>
          </w:tcPr>
          <w:p w:rsidR="005A108F" w:rsidRPr="00B37130" w:rsidRDefault="005A108F" w:rsidP="003F5DBB">
            <w:pPr>
              <w:pStyle w:val="BodyText"/>
              <w:spacing w:before="0"/>
              <w:ind w:firstLine="0"/>
              <w:jc w:val="center"/>
              <w:rPr>
                <w:rFonts w:cs="Tahoma"/>
                <w:sz w:val="18"/>
                <w:szCs w:val="18"/>
              </w:rPr>
            </w:pPr>
            <w:r w:rsidRPr="00B37130">
              <w:rPr>
                <w:rFonts w:cs="Tahoma"/>
                <w:sz w:val="18"/>
                <w:szCs w:val="18"/>
              </w:rPr>
              <w:t>29%</w:t>
            </w:r>
          </w:p>
        </w:tc>
        <w:tc>
          <w:tcPr>
            <w:tcW w:w="1170" w:type="dxa"/>
            <w:tcBorders>
              <w:top w:val="single" w:sz="4" w:space="0" w:color="auto"/>
              <w:left w:val="nil"/>
              <w:bottom w:val="nil"/>
              <w:right w:val="nil"/>
            </w:tcBorders>
            <w:vAlign w:val="center"/>
          </w:tcPr>
          <w:p w:rsidR="005A108F" w:rsidRPr="00B37130" w:rsidRDefault="005A108F" w:rsidP="003F5DBB">
            <w:pPr>
              <w:pStyle w:val="BodyText"/>
              <w:spacing w:before="0"/>
              <w:ind w:firstLine="0"/>
              <w:jc w:val="center"/>
              <w:rPr>
                <w:rFonts w:cs="Tahoma"/>
                <w:sz w:val="18"/>
                <w:szCs w:val="18"/>
              </w:rPr>
            </w:pPr>
            <w:r w:rsidRPr="00B37130">
              <w:rPr>
                <w:rFonts w:cs="Tahoma"/>
                <w:sz w:val="18"/>
                <w:szCs w:val="18"/>
              </w:rPr>
              <w:t>2%</w:t>
            </w:r>
          </w:p>
        </w:tc>
        <w:tc>
          <w:tcPr>
            <w:tcW w:w="1440" w:type="dxa"/>
            <w:tcBorders>
              <w:top w:val="single" w:sz="4" w:space="0" w:color="auto"/>
              <w:left w:val="nil"/>
              <w:bottom w:val="nil"/>
              <w:right w:val="nil"/>
            </w:tcBorders>
            <w:vAlign w:val="center"/>
          </w:tcPr>
          <w:p w:rsidR="005A108F" w:rsidRPr="00B37130" w:rsidRDefault="005A108F" w:rsidP="003F5DBB">
            <w:pPr>
              <w:pStyle w:val="BodyText"/>
              <w:spacing w:before="0"/>
              <w:ind w:firstLine="0"/>
              <w:jc w:val="center"/>
              <w:rPr>
                <w:rFonts w:cs="Tahoma"/>
                <w:sz w:val="18"/>
                <w:szCs w:val="18"/>
              </w:rPr>
            </w:pPr>
            <w:r w:rsidRPr="00B37130">
              <w:rPr>
                <w:rFonts w:cs="Tahoma"/>
                <w:sz w:val="18"/>
                <w:szCs w:val="18"/>
              </w:rPr>
              <w:t>0%</w:t>
            </w:r>
          </w:p>
        </w:tc>
      </w:tr>
      <w:tr w:rsidR="005A108F" w:rsidRPr="00010EC2" w:rsidTr="005A108F">
        <w:trPr>
          <w:trHeight w:val="503"/>
        </w:trPr>
        <w:tc>
          <w:tcPr>
            <w:tcW w:w="2070" w:type="dxa"/>
            <w:vMerge/>
            <w:tcBorders>
              <w:top w:val="single" w:sz="4" w:space="0" w:color="auto"/>
              <w:left w:val="nil"/>
              <w:bottom w:val="single" w:sz="4" w:space="0" w:color="auto"/>
              <w:right w:val="nil"/>
            </w:tcBorders>
            <w:vAlign w:val="center"/>
          </w:tcPr>
          <w:p w:rsidR="005A108F" w:rsidRPr="00AA7E8F" w:rsidRDefault="005A108F" w:rsidP="003F5DBB">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79665F">
            <w:pPr>
              <w:pStyle w:val="BodyText"/>
              <w:spacing w:before="0"/>
              <w:ind w:firstLine="0"/>
              <w:jc w:val="center"/>
              <w:rPr>
                <w:rFonts w:cs="Tahoma"/>
                <w:sz w:val="16"/>
              </w:rPr>
            </w:pPr>
            <w:r w:rsidRPr="00AA7E8F">
              <w:rPr>
                <w:rFonts w:cs="Tahoma"/>
                <w:sz w:val="16"/>
              </w:rPr>
              <w:t>2014</w:t>
            </w:r>
          </w:p>
        </w:tc>
        <w:tc>
          <w:tcPr>
            <w:tcW w:w="990" w:type="dxa"/>
            <w:tcBorders>
              <w:top w:val="nil"/>
              <w:left w:val="nil"/>
              <w:bottom w:val="single" w:sz="4" w:space="0" w:color="auto"/>
              <w:right w:val="nil"/>
            </w:tcBorders>
            <w:vAlign w:val="center"/>
          </w:tcPr>
          <w:p w:rsidR="005A108F" w:rsidRPr="000E37C9" w:rsidRDefault="005A108F" w:rsidP="003F5DBB">
            <w:pPr>
              <w:pStyle w:val="BodyText"/>
              <w:spacing w:before="0"/>
              <w:ind w:firstLine="0"/>
              <w:jc w:val="center"/>
              <w:rPr>
                <w:rFonts w:cs="Tahoma"/>
                <w:sz w:val="16"/>
                <w:szCs w:val="18"/>
              </w:rPr>
            </w:pPr>
            <w:r w:rsidRPr="000E37C9">
              <w:rPr>
                <w:rFonts w:cs="Tahoma"/>
                <w:sz w:val="16"/>
                <w:szCs w:val="18"/>
              </w:rPr>
              <w:t>N/A</w:t>
            </w:r>
          </w:p>
        </w:tc>
        <w:tc>
          <w:tcPr>
            <w:tcW w:w="1440" w:type="dxa"/>
            <w:tcBorders>
              <w:top w:val="nil"/>
              <w:left w:val="nil"/>
              <w:bottom w:val="single" w:sz="4" w:space="0" w:color="auto"/>
              <w:right w:val="nil"/>
            </w:tcBorders>
            <w:vAlign w:val="center"/>
          </w:tcPr>
          <w:p w:rsidR="005A108F" w:rsidRPr="000E37C9" w:rsidRDefault="005A108F" w:rsidP="003F5DBB">
            <w:pPr>
              <w:pStyle w:val="BodyText"/>
              <w:spacing w:before="0"/>
              <w:ind w:firstLine="0"/>
              <w:jc w:val="center"/>
              <w:rPr>
                <w:rFonts w:cs="Tahoma"/>
                <w:sz w:val="16"/>
                <w:szCs w:val="18"/>
              </w:rPr>
            </w:pPr>
            <w:r w:rsidRPr="000E37C9">
              <w:rPr>
                <w:rFonts w:cs="Tahoma"/>
                <w:sz w:val="16"/>
                <w:szCs w:val="18"/>
              </w:rPr>
              <w:t>N/A</w:t>
            </w:r>
          </w:p>
        </w:tc>
        <w:tc>
          <w:tcPr>
            <w:tcW w:w="1260" w:type="dxa"/>
            <w:tcBorders>
              <w:top w:val="nil"/>
              <w:left w:val="nil"/>
              <w:bottom w:val="single" w:sz="4" w:space="0" w:color="auto"/>
              <w:right w:val="nil"/>
            </w:tcBorders>
            <w:vAlign w:val="center"/>
          </w:tcPr>
          <w:p w:rsidR="005A108F" w:rsidRPr="000E37C9" w:rsidRDefault="005A108F" w:rsidP="003F5DBB">
            <w:pPr>
              <w:pStyle w:val="BodyText"/>
              <w:spacing w:before="0"/>
              <w:ind w:firstLine="0"/>
              <w:jc w:val="center"/>
              <w:rPr>
                <w:rFonts w:cs="Tahoma"/>
                <w:sz w:val="16"/>
                <w:szCs w:val="18"/>
              </w:rPr>
            </w:pPr>
            <w:r w:rsidRPr="000E37C9">
              <w:rPr>
                <w:rFonts w:cs="Tahoma"/>
                <w:sz w:val="16"/>
                <w:szCs w:val="18"/>
              </w:rPr>
              <w:t>N/A</w:t>
            </w:r>
          </w:p>
        </w:tc>
        <w:tc>
          <w:tcPr>
            <w:tcW w:w="1170" w:type="dxa"/>
            <w:tcBorders>
              <w:top w:val="nil"/>
              <w:left w:val="nil"/>
              <w:bottom w:val="single" w:sz="4" w:space="0" w:color="auto"/>
              <w:right w:val="nil"/>
            </w:tcBorders>
            <w:vAlign w:val="center"/>
          </w:tcPr>
          <w:p w:rsidR="005A108F" w:rsidRPr="000E37C9" w:rsidRDefault="005A108F" w:rsidP="003F5DBB">
            <w:pPr>
              <w:pStyle w:val="BodyText"/>
              <w:spacing w:before="0"/>
              <w:ind w:firstLine="0"/>
              <w:jc w:val="center"/>
              <w:rPr>
                <w:rFonts w:cs="Tahoma"/>
                <w:sz w:val="16"/>
                <w:szCs w:val="18"/>
              </w:rPr>
            </w:pPr>
            <w:r w:rsidRPr="000E37C9">
              <w:rPr>
                <w:rFonts w:cs="Tahoma"/>
                <w:sz w:val="16"/>
                <w:szCs w:val="18"/>
              </w:rPr>
              <w:t>N/A</w:t>
            </w:r>
          </w:p>
        </w:tc>
        <w:tc>
          <w:tcPr>
            <w:tcW w:w="1440" w:type="dxa"/>
            <w:tcBorders>
              <w:top w:val="nil"/>
              <w:left w:val="nil"/>
              <w:bottom w:val="single" w:sz="4" w:space="0" w:color="auto"/>
              <w:right w:val="nil"/>
            </w:tcBorders>
            <w:vAlign w:val="center"/>
          </w:tcPr>
          <w:p w:rsidR="005A108F" w:rsidRPr="000E37C9" w:rsidRDefault="005A108F" w:rsidP="003F5DBB">
            <w:pPr>
              <w:pStyle w:val="BodyText"/>
              <w:spacing w:before="0"/>
              <w:ind w:firstLine="0"/>
              <w:jc w:val="center"/>
              <w:rPr>
                <w:rFonts w:cs="Tahoma"/>
                <w:sz w:val="16"/>
                <w:szCs w:val="18"/>
              </w:rPr>
            </w:pPr>
            <w:r w:rsidRPr="000E37C9">
              <w:rPr>
                <w:rFonts w:cs="Tahoma"/>
                <w:sz w:val="16"/>
                <w:szCs w:val="18"/>
              </w:rPr>
              <w:t>N/A</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5A108F">
              <w:rPr>
                <w:rFonts w:cs="Tahoma"/>
                <w:sz w:val="18"/>
              </w:rPr>
              <w:t>Engineering</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15%</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43%</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40%</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w:t>
            </w:r>
          </w:p>
        </w:tc>
      </w:tr>
      <w:tr w:rsidR="005A108F" w:rsidRPr="00010EC2" w:rsidTr="005A108F">
        <w:trPr>
          <w:trHeight w:val="315"/>
        </w:trPr>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Default="005A108F" w:rsidP="00B205D3">
            <w:pPr>
              <w:pStyle w:val="BodyText"/>
              <w:spacing w:before="0"/>
              <w:ind w:firstLine="0"/>
              <w:jc w:val="center"/>
              <w:rPr>
                <w:rFonts w:cs="Tahoma"/>
                <w:sz w:val="18"/>
              </w:rPr>
            </w:pPr>
            <w:r>
              <w:rPr>
                <w:rFonts w:cs="Tahoma"/>
                <w:sz w:val="18"/>
              </w:rPr>
              <w:t>13%</w:t>
            </w:r>
          </w:p>
        </w:tc>
        <w:tc>
          <w:tcPr>
            <w:tcW w:w="1440" w:type="dxa"/>
            <w:tcBorders>
              <w:top w:val="nil"/>
              <w:left w:val="nil"/>
              <w:bottom w:val="single" w:sz="4" w:space="0" w:color="auto"/>
              <w:right w:val="nil"/>
            </w:tcBorders>
            <w:vAlign w:val="center"/>
          </w:tcPr>
          <w:p w:rsidR="005A108F" w:rsidRDefault="005A108F" w:rsidP="00B205D3">
            <w:pPr>
              <w:pStyle w:val="BodyText"/>
              <w:spacing w:before="0"/>
              <w:ind w:firstLine="0"/>
              <w:jc w:val="center"/>
              <w:rPr>
                <w:rFonts w:cs="Tahoma"/>
                <w:sz w:val="18"/>
              </w:rPr>
            </w:pPr>
            <w:r>
              <w:rPr>
                <w:rFonts w:cs="Tahoma"/>
                <w:sz w:val="18"/>
              </w:rPr>
              <w:t>37%</w:t>
            </w:r>
          </w:p>
        </w:tc>
        <w:tc>
          <w:tcPr>
            <w:tcW w:w="1260" w:type="dxa"/>
            <w:tcBorders>
              <w:top w:val="nil"/>
              <w:left w:val="nil"/>
              <w:bottom w:val="single" w:sz="4" w:space="0" w:color="auto"/>
              <w:right w:val="nil"/>
            </w:tcBorders>
            <w:vAlign w:val="center"/>
          </w:tcPr>
          <w:p w:rsidR="005A108F" w:rsidRDefault="005A108F" w:rsidP="00B205D3">
            <w:pPr>
              <w:pStyle w:val="BodyText"/>
              <w:spacing w:before="0"/>
              <w:ind w:firstLine="0"/>
              <w:jc w:val="center"/>
              <w:rPr>
                <w:rFonts w:cs="Tahoma"/>
                <w:sz w:val="18"/>
              </w:rPr>
            </w:pPr>
            <w:r>
              <w:rPr>
                <w:rFonts w:cs="Tahoma"/>
                <w:sz w:val="18"/>
              </w:rPr>
              <w:t>49%</w:t>
            </w:r>
          </w:p>
        </w:tc>
        <w:tc>
          <w:tcPr>
            <w:tcW w:w="1170" w:type="dxa"/>
            <w:tcBorders>
              <w:top w:val="nil"/>
              <w:left w:val="nil"/>
              <w:bottom w:val="single" w:sz="4" w:space="0" w:color="auto"/>
              <w:right w:val="nil"/>
            </w:tcBorders>
            <w:vAlign w:val="center"/>
          </w:tcPr>
          <w:p w:rsidR="005A108F" w:rsidRDefault="005A108F" w:rsidP="00B205D3">
            <w:pPr>
              <w:pStyle w:val="BodyText"/>
              <w:spacing w:before="0"/>
              <w:ind w:firstLine="0"/>
              <w:jc w:val="center"/>
              <w:rPr>
                <w:rFonts w:cs="Tahoma"/>
                <w:sz w:val="18"/>
              </w:rPr>
            </w:pPr>
            <w:r>
              <w:rPr>
                <w:rFonts w:cs="Tahoma"/>
                <w:sz w:val="18"/>
              </w:rPr>
              <w:t>1%</w:t>
            </w:r>
          </w:p>
        </w:tc>
        <w:tc>
          <w:tcPr>
            <w:tcW w:w="1440" w:type="dxa"/>
            <w:tcBorders>
              <w:top w:val="nil"/>
              <w:left w:val="nil"/>
              <w:bottom w:val="single" w:sz="4" w:space="0" w:color="auto"/>
              <w:right w:val="nil"/>
            </w:tcBorders>
            <w:vAlign w:val="center"/>
          </w:tcPr>
          <w:p w:rsidR="005A108F"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5A108F">
              <w:rPr>
                <w:rFonts w:cs="Tahoma"/>
                <w:sz w:val="18"/>
              </w:rPr>
              <w:t>Arts and Sciences</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18%</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46%</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35%</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w:t>
            </w:r>
          </w:p>
        </w:tc>
      </w:tr>
      <w:tr w:rsidR="005A108F" w:rsidRPr="00010EC2" w:rsidTr="005A108F">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9%</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46%</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44%</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5A108F">
              <w:rPr>
                <w:rFonts w:cs="Tahoma"/>
                <w:sz w:val="18"/>
              </w:rPr>
              <w:t>Law</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12%</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60%</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29%</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13%</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54%</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33%</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5A108F">
              <w:rPr>
                <w:rFonts w:cs="Tahoma"/>
                <w:sz w:val="18"/>
              </w:rPr>
              <w:t>Education, Health and Human Sciences</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27%</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46%</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27%</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rPr>
          <w:trHeight w:val="351"/>
        </w:trPr>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14%</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46%</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35%</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AA7E8F" w:rsidRDefault="005A108F" w:rsidP="000E37C9">
            <w:pPr>
              <w:pStyle w:val="BodyText"/>
              <w:spacing w:before="0"/>
              <w:ind w:firstLine="0"/>
              <w:rPr>
                <w:rFonts w:cs="Tahoma"/>
                <w:sz w:val="16"/>
              </w:rPr>
            </w:pPr>
            <w:r w:rsidRPr="005A108F">
              <w:rPr>
                <w:rFonts w:cs="Tahoma"/>
                <w:sz w:val="18"/>
              </w:rPr>
              <w:t xml:space="preserve">Social Work; </w:t>
            </w:r>
            <w:r w:rsidRPr="005A108F">
              <w:rPr>
                <w:rFonts w:cs="Tahoma"/>
                <w:sz w:val="18"/>
              </w:rPr>
              <w:t>Nursing</w:t>
            </w:r>
            <w:r w:rsidRPr="005A108F">
              <w:rPr>
                <w:rFonts w:cs="Tahoma"/>
                <w:sz w:val="18"/>
              </w:rPr>
              <w:t xml:space="preserve"> Architecture &amp; Design;</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38%</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39%</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20%</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rPr>
          <w:trHeight w:val="324"/>
        </w:trPr>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29%</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31%</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33%</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7%</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5A108F" w:rsidRDefault="005A108F" w:rsidP="00B205D3">
            <w:pPr>
              <w:pStyle w:val="BodyText"/>
              <w:spacing w:before="0"/>
              <w:ind w:firstLine="0"/>
              <w:rPr>
                <w:rFonts w:cs="Tahoma"/>
                <w:sz w:val="18"/>
              </w:rPr>
            </w:pPr>
            <w:r w:rsidRPr="005A108F">
              <w:rPr>
                <w:rFonts w:cs="Tahoma"/>
                <w:sz w:val="18"/>
              </w:rPr>
              <w:t>Libraries</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14%</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59%</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27%</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rPr>
          <w:trHeight w:val="315"/>
        </w:trPr>
        <w:tc>
          <w:tcPr>
            <w:tcW w:w="2070" w:type="dxa"/>
            <w:vMerge/>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5%</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72%</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21%</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5A108F" w:rsidRDefault="005A108F" w:rsidP="003F5DBB">
            <w:pPr>
              <w:pStyle w:val="BodyText"/>
              <w:spacing w:before="0"/>
              <w:ind w:firstLine="0"/>
              <w:rPr>
                <w:rFonts w:cs="Tahoma"/>
                <w:sz w:val="18"/>
              </w:rPr>
            </w:pPr>
            <w:r w:rsidRPr="005A108F">
              <w:rPr>
                <w:rFonts w:cs="Tahoma"/>
                <w:sz w:val="18"/>
              </w:rPr>
              <w:t>Business Administration</w:t>
            </w:r>
          </w:p>
        </w:tc>
        <w:tc>
          <w:tcPr>
            <w:tcW w:w="900" w:type="dxa"/>
            <w:tcBorders>
              <w:top w:val="single" w:sz="4" w:space="0" w:color="auto"/>
              <w:left w:val="nil"/>
              <w:bottom w:val="nil"/>
              <w:right w:val="nil"/>
            </w:tcBorders>
            <w:vAlign w:val="center"/>
          </w:tcPr>
          <w:p w:rsidR="005A108F" w:rsidRPr="00AA7E8F" w:rsidRDefault="005A108F" w:rsidP="003F5DBB">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3F5DBB">
            <w:pPr>
              <w:pStyle w:val="BodyText"/>
              <w:spacing w:before="0"/>
              <w:ind w:firstLine="0"/>
              <w:jc w:val="center"/>
              <w:rPr>
                <w:rFonts w:cs="Tahoma"/>
                <w:sz w:val="18"/>
              </w:rPr>
            </w:pPr>
            <w:r>
              <w:rPr>
                <w:rFonts w:cs="Tahoma"/>
                <w:sz w:val="18"/>
              </w:rPr>
              <w:t>31%</w:t>
            </w:r>
          </w:p>
        </w:tc>
        <w:tc>
          <w:tcPr>
            <w:tcW w:w="1440" w:type="dxa"/>
            <w:tcBorders>
              <w:top w:val="single" w:sz="4" w:space="0" w:color="auto"/>
              <w:left w:val="nil"/>
              <w:bottom w:val="nil"/>
              <w:right w:val="nil"/>
            </w:tcBorders>
            <w:vAlign w:val="center"/>
          </w:tcPr>
          <w:p w:rsidR="005A108F" w:rsidRPr="00010EC2" w:rsidRDefault="005A108F" w:rsidP="003F5DBB">
            <w:pPr>
              <w:pStyle w:val="BodyText"/>
              <w:spacing w:before="0"/>
              <w:ind w:firstLine="0"/>
              <w:jc w:val="center"/>
              <w:rPr>
                <w:rFonts w:cs="Tahoma"/>
                <w:sz w:val="18"/>
              </w:rPr>
            </w:pPr>
            <w:r>
              <w:rPr>
                <w:rFonts w:cs="Tahoma"/>
                <w:sz w:val="18"/>
              </w:rPr>
              <w:t>44%</w:t>
            </w:r>
          </w:p>
        </w:tc>
        <w:tc>
          <w:tcPr>
            <w:tcW w:w="1260" w:type="dxa"/>
            <w:tcBorders>
              <w:top w:val="single" w:sz="4" w:space="0" w:color="auto"/>
              <w:left w:val="nil"/>
              <w:bottom w:val="nil"/>
              <w:right w:val="nil"/>
            </w:tcBorders>
            <w:vAlign w:val="center"/>
          </w:tcPr>
          <w:p w:rsidR="005A108F" w:rsidRPr="00010EC2" w:rsidRDefault="005A108F" w:rsidP="003F5DBB">
            <w:pPr>
              <w:pStyle w:val="BodyText"/>
              <w:spacing w:before="0"/>
              <w:ind w:firstLine="0"/>
              <w:jc w:val="center"/>
              <w:rPr>
                <w:rFonts w:cs="Tahoma"/>
                <w:sz w:val="18"/>
              </w:rPr>
            </w:pPr>
            <w:r>
              <w:rPr>
                <w:rFonts w:cs="Tahoma"/>
                <w:sz w:val="18"/>
              </w:rPr>
              <w:t>25%</w:t>
            </w:r>
          </w:p>
        </w:tc>
        <w:tc>
          <w:tcPr>
            <w:tcW w:w="1170" w:type="dxa"/>
            <w:tcBorders>
              <w:top w:val="single" w:sz="4" w:space="0" w:color="auto"/>
              <w:left w:val="nil"/>
              <w:bottom w:val="nil"/>
              <w:right w:val="nil"/>
            </w:tcBorders>
            <w:vAlign w:val="center"/>
          </w:tcPr>
          <w:p w:rsidR="005A108F" w:rsidRPr="00010EC2" w:rsidRDefault="005A108F" w:rsidP="003F5DBB">
            <w:pPr>
              <w:pStyle w:val="BodyText"/>
              <w:spacing w:before="0"/>
              <w:ind w:firstLine="0"/>
              <w:jc w:val="center"/>
              <w:rPr>
                <w:rFonts w:cs="Tahoma"/>
                <w:sz w:val="18"/>
              </w:rPr>
            </w:pPr>
            <w:r>
              <w:rPr>
                <w:rFonts w:cs="Tahoma"/>
                <w:sz w:val="18"/>
              </w:rPr>
              <w:t>0%</w:t>
            </w:r>
          </w:p>
        </w:tc>
        <w:tc>
          <w:tcPr>
            <w:tcW w:w="1440" w:type="dxa"/>
            <w:tcBorders>
              <w:top w:val="single" w:sz="4" w:space="0" w:color="auto"/>
              <w:left w:val="nil"/>
              <w:bottom w:val="nil"/>
              <w:right w:val="nil"/>
            </w:tcBorders>
            <w:vAlign w:val="center"/>
          </w:tcPr>
          <w:p w:rsidR="005A108F" w:rsidRPr="00010EC2" w:rsidRDefault="005A108F" w:rsidP="003F5DBB">
            <w:pPr>
              <w:pStyle w:val="BodyText"/>
              <w:spacing w:before="0"/>
              <w:ind w:firstLine="0"/>
              <w:jc w:val="center"/>
              <w:rPr>
                <w:rFonts w:cs="Tahoma"/>
                <w:sz w:val="18"/>
              </w:rPr>
            </w:pPr>
            <w:r>
              <w:rPr>
                <w:rFonts w:cs="Tahoma"/>
                <w:sz w:val="18"/>
              </w:rPr>
              <w:t>0%</w:t>
            </w:r>
          </w:p>
        </w:tc>
      </w:tr>
      <w:tr w:rsidR="005A108F" w:rsidRPr="00010EC2" w:rsidTr="005A108F">
        <w:trPr>
          <w:trHeight w:val="324"/>
        </w:trPr>
        <w:tc>
          <w:tcPr>
            <w:tcW w:w="2070" w:type="dxa"/>
            <w:vMerge/>
            <w:tcBorders>
              <w:top w:val="nil"/>
              <w:left w:val="nil"/>
              <w:bottom w:val="single" w:sz="4" w:space="0" w:color="auto"/>
              <w:right w:val="nil"/>
            </w:tcBorders>
            <w:vAlign w:val="center"/>
          </w:tcPr>
          <w:p w:rsidR="005A108F" w:rsidRPr="005A108F" w:rsidRDefault="005A108F" w:rsidP="00B205D3">
            <w:pPr>
              <w:pStyle w:val="BodyText"/>
              <w:spacing w:before="0"/>
              <w:ind w:firstLine="0"/>
              <w:rPr>
                <w:rFonts w:cs="Tahoma"/>
                <w:sz w:val="18"/>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25%</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44%</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31%</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5A108F" w:rsidRDefault="005A108F" w:rsidP="00B205D3">
            <w:pPr>
              <w:pStyle w:val="BodyText"/>
              <w:spacing w:before="0"/>
              <w:ind w:firstLine="0"/>
              <w:rPr>
                <w:rFonts w:cs="Tahoma"/>
                <w:sz w:val="18"/>
              </w:rPr>
            </w:pPr>
            <w:r w:rsidRPr="005A108F">
              <w:rPr>
                <w:rFonts w:cs="Tahoma"/>
                <w:sz w:val="18"/>
              </w:rPr>
              <w:t>Communication and Information</w:t>
            </w:r>
          </w:p>
        </w:tc>
        <w:tc>
          <w:tcPr>
            <w:tcW w:w="900" w:type="dxa"/>
            <w:tcBorders>
              <w:top w:val="single" w:sz="4" w:space="0" w:color="auto"/>
              <w:left w:val="nil"/>
              <w:bottom w:val="nil"/>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2013-14</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40%</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40%</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20%</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rPr>
          <w:trHeight w:val="315"/>
        </w:trPr>
        <w:tc>
          <w:tcPr>
            <w:tcW w:w="2070" w:type="dxa"/>
            <w:vMerge/>
            <w:tcBorders>
              <w:top w:val="nil"/>
              <w:left w:val="nil"/>
              <w:bottom w:val="single" w:sz="4" w:space="0" w:color="auto"/>
              <w:right w:val="nil"/>
            </w:tcBorders>
            <w:vAlign w:val="center"/>
          </w:tcPr>
          <w:p w:rsidR="005A108F" w:rsidRPr="005A108F" w:rsidRDefault="005A108F" w:rsidP="00B205D3">
            <w:pPr>
              <w:pStyle w:val="BodyText"/>
              <w:spacing w:before="0"/>
              <w:ind w:firstLine="0"/>
              <w:rPr>
                <w:rFonts w:cs="Tahoma"/>
                <w:sz w:val="18"/>
              </w:rPr>
            </w:pPr>
          </w:p>
        </w:tc>
        <w:tc>
          <w:tcPr>
            <w:tcW w:w="900" w:type="dxa"/>
            <w:tcBorders>
              <w:top w:val="nil"/>
              <w:left w:val="nil"/>
              <w:bottom w:val="single" w:sz="4" w:space="0" w:color="auto"/>
              <w:right w:val="nil"/>
            </w:tcBorders>
            <w:vAlign w:val="center"/>
          </w:tcPr>
          <w:p w:rsidR="005A108F" w:rsidRPr="00AA7E8F" w:rsidRDefault="005A108F" w:rsidP="00B205D3">
            <w:pPr>
              <w:pStyle w:val="BodyText"/>
              <w:spacing w:before="0"/>
              <w:ind w:firstLine="0"/>
              <w:rPr>
                <w:rFonts w:cs="Tahoma"/>
                <w:sz w:val="16"/>
              </w:rPr>
            </w:pPr>
            <w:r w:rsidRPr="00AA7E8F">
              <w:rPr>
                <w:rFonts w:cs="Tahoma"/>
                <w:sz w:val="16"/>
              </w:rPr>
              <w:t>2014-15</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20%</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43%</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38%</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0%</w:t>
            </w:r>
          </w:p>
        </w:tc>
      </w:tr>
      <w:tr w:rsidR="005A108F" w:rsidRPr="00010EC2" w:rsidTr="005A108F">
        <w:tc>
          <w:tcPr>
            <w:tcW w:w="2070" w:type="dxa"/>
            <w:vMerge w:val="restart"/>
            <w:tcBorders>
              <w:top w:val="single" w:sz="4" w:space="0" w:color="auto"/>
              <w:left w:val="nil"/>
              <w:bottom w:val="nil"/>
              <w:right w:val="nil"/>
            </w:tcBorders>
            <w:vAlign w:val="center"/>
          </w:tcPr>
          <w:p w:rsidR="005A108F" w:rsidRPr="005A108F" w:rsidRDefault="005A108F" w:rsidP="00B205D3">
            <w:pPr>
              <w:pStyle w:val="BodyText"/>
              <w:spacing w:before="0"/>
              <w:ind w:firstLine="0"/>
              <w:rPr>
                <w:rFonts w:cs="Tahoma"/>
                <w:sz w:val="18"/>
              </w:rPr>
            </w:pPr>
            <w:r w:rsidRPr="005A108F">
              <w:rPr>
                <w:rFonts w:cs="Tahoma"/>
                <w:sz w:val="18"/>
              </w:rPr>
              <w:t>Veterinary Medicine</w:t>
            </w:r>
          </w:p>
        </w:tc>
        <w:tc>
          <w:tcPr>
            <w:tcW w:w="900" w:type="dxa"/>
            <w:tcBorders>
              <w:top w:val="single" w:sz="4" w:space="0" w:color="auto"/>
              <w:left w:val="nil"/>
              <w:bottom w:val="nil"/>
              <w:right w:val="nil"/>
            </w:tcBorders>
            <w:vAlign w:val="center"/>
          </w:tcPr>
          <w:p w:rsidR="005A108F" w:rsidRPr="00AA7E8F" w:rsidRDefault="005A108F" w:rsidP="00940A5B">
            <w:pPr>
              <w:pStyle w:val="BodyText"/>
              <w:spacing w:before="0"/>
              <w:ind w:firstLine="0"/>
              <w:jc w:val="center"/>
              <w:rPr>
                <w:rFonts w:cs="Tahoma"/>
                <w:sz w:val="16"/>
              </w:rPr>
            </w:pPr>
            <w:r>
              <w:rPr>
                <w:rFonts w:cs="Tahoma"/>
                <w:sz w:val="16"/>
              </w:rPr>
              <w:t>2013</w:t>
            </w:r>
          </w:p>
        </w:tc>
        <w:tc>
          <w:tcPr>
            <w:tcW w:w="99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19%</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55%</w:t>
            </w:r>
          </w:p>
        </w:tc>
        <w:tc>
          <w:tcPr>
            <w:tcW w:w="126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18%</w:t>
            </w:r>
          </w:p>
        </w:tc>
        <w:tc>
          <w:tcPr>
            <w:tcW w:w="117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3%</w:t>
            </w:r>
          </w:p>
        </w:tc>
        <w:tc>
          <w:tcPr>
            <w:tcW w:w="1440" w:type="dxa"/>
            <w:tcBorders>
              <w:top w:val="single" w:sz="4" w:space="0" w:color="auto"/>
              <w:left w:val="nil"/>
              <w:bottom w:val="nil"/>
              <w:right w:val="nil"/>
            </w:tcBorders>
            <w:vAlign w:val="center"/>
          </w:tcPr>
          <w:p w:rsidR="005A108F" w:rsidRPr="00010EC2" w:rsidRDefault="005A108F" w:rsidP="00B205D3">
            <w:pPr>
              <w:pStyle w:val="BodyText"/>
              <w:spacing w:before="0"/>
              <w:ind w:firstLine="0"/>
              <w:jc w:val="center"/>
              <w:rPr>
                <w:rFonts w:cs="Tahoma"/>
                <w:sz w:val="18"/>
              </w:rPr>
            </w:pPr>
            <w:r>
              <w:rPr>
                <w:rFonts w:cs="Tahoma"/>
                <w:sz w:val="18"/>
              </w:rPr>
              <w:t>4%</w:t>
            </w:r>
          </w:p>
        </w:tc>
      </w:tr>
      <w:tr w:rsidR="005A108F" w:rsidRPr="00010EC2" w:rsidTr="005A108F">
        <w:trPr>
          <w:trHeight w:val="324"/>
        </w:trPr>
        <w:tc>
          <w:tcPr>
            <w:tcW w:w="2070" w:type="dxa"/>
            <w:vMerge/>
            <w:tcBorders>
              <w:top w:val="nil"/>
              <w:left w:val="nil"/>
              <w:bottom w:val="single" w:sz="4" w:space="0" w:color="auto"/>
              <w:right w:val="nil"/>
            </w:tcBorders>
            <w:vAlign w:val="center"/>
          </w:tcPr>
          <w:p w:rsidR="005A108F" w:rsidRPr="00010EC2" w:rsidRDefault="005A108F" w:rsidP="00B205D3">
            <w:pPr>
              <w:pStyle w:val="BodyText"/>
              <w:spacing w:before="0"/>
              <w:ind w:firstLine="0"/>
              <w:rPr>
                <w:rFonts w:cs="Tahoma"/>
                <w:sz w:val="18"/>
              </w:rPr>
            </w:pPr>
          </w:p>
        </w:tc>
        <w:tc>
          <w:tcPr>
            <w:tcW w:w="900" w:type="dxa"/>
            <w:tcBorders>
              <w:top w:val="nil"/>
              <w:left w:val="nil"/>
              <w:bottom w:val="single" w:sz="4" w:space="0" w:color="auto"/>
              <w:right w:val="nil"/>
            </w:tcBorders>
            <w:vAlign w:val="center"/>
          </w:tcPr>
          <w:p w:rsidR="005A108F" w:rsidRPr="00AA7E8F" w:rsidRDefault="005A108F" w:rsidP="00940A5B">
            <w:pPr>
              <w:pStyle w:val="BodyText"/>
              <w:spacing w:before="0"/>
              <w:ind w:firstLine="0"/>
              <w:jc w:val="center"/>
              <w:rPr>
                <w:rFonts w:cs="Tahoma"/>
                <w:sz w:val="16"/>
              </w:rPr>
            </w:pPr>
            <w:r w:rsidRPr="00AA7E8F">
              <w:rPr>
                <w:rFonts w:cs="Tahoma"/>
                <w:sz w:val="16"/>
              </w:rPr>
              <w:t>2014</w:t>
            </w:r>
          </w:p>
        </w:tc>
        <w:tc>
          <w:tcPr>
            <w:tcW w:w="99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sidRPr="000E37C9">
              <w:rPr>
                <w:rFonts w:cs="Tahoma"/>
                <w:sz w:val="16"/>
                <w:szCs w:val="18"/>
              </w:rPr>
              <w:t>N/A</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sidRPr="000E37C9">
              <w:rPr>
                <w:rFonts w:cs="Tahoma"/>
                <w:sz w:val="16"/>
                <w:szCs w:val="18"/>
              </w:rPr>
              <w:t>N/A</w:t>
            </w:r>
          </w:p>
        </w:tc>
        <w:tc>
          <w:tcPr>
            <w:tcW w:w="126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sidRPr="000E37C9">
              <w:rPr>
                <w:rFonts w:cs="Tahoma"/>
                <w:sz w:val="16"/>
                <w:szCs w:val="18"/>
              </w:rPr>
              <w:t>N/A</w:t>
            </w:r>
          </w:p>
        </w:tc>
        <w:tc>
          <w:tcPr>
            <w:tcW w:w="117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sidRPr="000E37C9">
              <w:rPr>
                <w:rFonts w:cs="Tahoma"/>
                <w:sz w:val="16"/>
                <w:szCs w:val="18"/>
              </w:rPr>
              <w:t>N/A</w:t>
            </w:r>
          </w:p>
        </w:tc>
        <w:tc>
          <w:tcPr>
            <w:tcW w:w="1440" w:type="dxa"/>
            <w:tcBorders>
              <w:top w:val="nil"/>
              <w:left w:val="nil"/>
              <w:bottom w:val="single" w:sz="4" w:space="0" w:color="auto"/>
              <w:right w:val="nil"/>
            </w:tcBorders>
            <w:vAlign w:val="center"/>
          </w:tcPr>
          <w:p w:rsidR="005A108F" w:rsidRPr="00010EC2" w:rsidRDefault="005A108F" w:rsidP="00B205D3">
            <w:pPr>
              <w:pStyle w:val="BodyText"/>
              <w:spacing w:before="0"/>
              <w:ind w:firstLine="0"/>
              <w:jc w:val="center"/>
              <w:rPr>
                <w:rFonts w:cs="Tahoma"/>
                <w:sz w:val="18"/>
              </w:rPr>
            </w:pPr>
            <w:r w:rsidRPr="000E37C9">
              <w:rPr>
                <w:rFonts w:cs="Tahoma"/>
                <w:sz w:val="16"/>
                <w:szCs w:val="18"/>
              </w:rPr>
              <w:t>N/A</w:t>
            </w:r>
          </w:p>
        </w:tc>
      </w:tr>
    </w:tbl>
    <w:p w:rsidR="00CB6A46" w:rsidRPr="00CB6A46" w:rsidRDefault="00CB6A46" w:rsidP="005A108F">
      <w:pPr>
        <w:pStyle w:val="BodyText"/>
        <w:spacing w:before="0"/>
        <w:ind w:left="360" w:hanging="360"/>
        <w:rPr>
          <w:rFonts w:cs="Tahoma"/>
          <w:b/>
          <w:caps/>
          <w:sz w:val="20"/>
        </w:rPr>
      </w:pPr>
    </w:p>
    <w:sectPr w:rsidR="00CB6A46" w:rsidRPr="00CB6A46" w:rsidSect="000837B6">
      <w:footerReference w:type="even" r:id="rId10"/>
      <w:footerReference w:type="default" r:id="rId11"/>
      <w:footerReference w:type="first" r:id="rId12"/>
      <w:pgSz w:w="12240" w:h="15840" w:code="1"/>
      <w:pgMar w:top="1440" w:right="1152" w:bottom="1440" w:left="1152"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A3" w:rsidRDefault="00CF58A3">
      <w:r>
        <w:separator/>
      </w:r>
    </w:p>
    <w:p w:rsidR="00CF58A3" w:rsidRDefault="00CF58A3"/>
  </w:endnote>
  <w:endnote w:type="continuationSeparator" w:id="0">
    <w:p w:rsidR="00CF58A3" w:rsidRDefault="00CF58A3">
      <w:r>
        <w:continuationSeparator/>
      </w:r>
    </w:p>
    <w:p w:rsidR="00CF58A3" w:rsidRDefault="00CF5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E417A5">
      <w:rPr>
        <w:rStyle w:val="PageNumber"/>
        <w:noProof/>
      </w:rPr>
      <w:t>2</w:t>
    </w:r>
    <w:r>
      <w:rPr>
        <w:rStyle w:val="PageNumber"/>
      </w:rPr>
      <w:fldChar w:fldCharType="end"/>
    </w:r>
  </w:p>
  <w:p w:rsidR="005673B8" w:rsidRDefault="005673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B8" w:rsidRDefault="005673B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A3" w:rsidRDefault="00CF58A3">
      <w:r>
        <w:separator/>
      </w:r>
    </w:p>
    <w:p w:rsidR="00CF58A3" w:rsidRDefault="00CF58A3"/>
  </w:footnote>
  <w:footnote w:type="continuationSeparator" w:id="0">
    <w:p w:rsidR="00CF58A3" w:rsidRDefault="00CF58A3">
      <w:r>
        <w:continuationSeparator/>
      </w:r>
    </w:p>
    <w:p w:rsidR="00CF58A3" w:rsidRDefault="00CF58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569B3"/>
    <w:multiLevelType w:val="hybridMultilevel"/>
    <w:tmpl w:val="AF585EA6"/>
    <w:lvl w:ilvl="0" w:tplc="0E6ED218">
      <w:start w:val="1"/>
      <w:numFmt w:val="bullet"/>
      <w:lvlText w:val=""/>
      <w:lvlJc w:val="left"/>
      <w:pPr>
        <w:ind w:left="1260" w:hanging="360"/>
      </w:pPr>
      <w:rPr>
        <w:rFonts w:ascii="Symbol" w:hAnsi="Symbol" w:hint="default"/>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5B20626"/>
    <w:multiLevelType w:val="hybridMultilevel"/>
    <w:tmpl w:val="C52E0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7D454B3"/>
    <w:multiLevelType w:val="hybridMultilevel"/>
    <w:tmpl w:val="5F1E63EC"/>
    <w:lvl w:ilvl="0" w:tplc="E91C85D2">
      <w:start w:val="1"/>
      <w:numFmt w:val="bullet"/>
      <w:lvlText w:val=""/>
      <w:lvlJc w:val="left"/>
      <w:pPr>
        <w:ind w:left="1440" w:hanging="360"/>
      </w:pPr>
      <w:rPr>
        <w:rFonts w:ascii="Symbol" w:hAnsi="Symbol"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E06E73"/>
    <w:multiLevelType w:val="hybridMultilevel"/>
    <w:tmpl w:val="292A75F8"/>
    <w:lvl w:ilvl="0" w:tplc="149A9AEA">
      <w:start w:val="1"/>
      <w:numFmt w:val="bullet"/>
      <w:lvlText w:val=""/>
      <w:lvlJc w:val="left"/>
      <w:pPr>
        <w:ind w:left="1440" w:hanging="360"/>
      </w:pPr>
      <w:rPr>
        <w:rFonts w:ascii="Symbol" w:hAnsi="Symbol" w:hint="default"/>
        <w:sz w:val="12"/>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BD18A5"/>
    <w:multiLevelType w:val="hybridMultilevel"/>
    <w:tmpl w:val="04CAF7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04750E"/>
    <w:multiLevelType w:val="multilevel"/>
    <w:tmpl w:val="5F42D61E"/>
    <w:lvl w:ilvl="0">
      <w:start w:val="1"/>
      <w:numFmt w:val="upperRoman"/>
      <w:pStyle w:val="Heading1"/>
      <w:lvlText w:val="%1."/>
      <w:lvlJc w:val="left"/>
      <w:pPr>
        <w:ind w:left="0" w:firstLine="0"/>
      </w:pPr>
      <w:rPr>
        <w:rFonts w:ascii="Cambria" w:hAnsi="Cambria" w:hint="default"/>
        <w:b/>
      </w:rPr>
    </w:lvl>
    <w:lvl w:ilvl="1">
      <w:start w:val="1"/>
      <w:numFmt w:val="upperLetter"/>
      <w:pStyle w:val="Heading2"/>
      <w:lvlText w:val="%2."/>
      <w:lvlJc w:val="left"/>
      <w:pPr>
        <w:ind w:left="720" w:firstLine="0"/>
      </w:pPr>
      <w:rPr>
        <w:rFonts w:ascii="Cambria" w:hAnsi="Cambria" w:hint="default"/>
        <w:b/>
        <w:sz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BA63811"/>
    <w:multiLevelType w:val="hybridMultilevel"/>
    <w:tmpl w:val="C9044A82"/>
    <w:lvl w:ilvl="0" w:tplc="CDBE8F6A">
      <w:start w:val="1"/>
      <w:numFmt w:val="bullet"/>
      <w:lvlText w:val="•"/>
      <w:lvlJc w:val="left"/>
      <w:pPr>
        <w:ind w:left="1260" w:hanging="360"/>
      </w:pPr>
      <w:rPr>
        <w:rFonts w:ascii="Times New Roman" w:hAnsi="Times New Roman" w:cs="Times New Roman"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E842809"/>
    <w:multiLevelType w:val="hybridMultilevel"/>
    <w:tmpl w:val="386C09C4"/>
    <w:lvl w:ilvl="0" w:tplc="4D3AFB3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A4719"/>
    <w:multiLevelType w:val="hybridMultilevel"/>
    <w:tmpl w:val="8BC6C1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4C37D9"/>
    <w:multiLevelType w:val="hybridMultilevel"/>
    <w:tmpl w:val="C304F5C4"/>
    <w:lvl w:ilvl="0" w:tplc="F9E0980E">
      <w:start w:val="1"/>
      <w:numFmt w:val="bullet"/>
      <w:lvlText w:val="•"/>
      <w:lvlJc w:val="left"/>
      <w:pPr>
        <w:ind w:left="1260" w:hanging="360"/>
      </w:pPr>
      <w:rPr>
        <w:rFonts w:ascii="Times New Roman" w:hAnsi="Times New Roman" w:cs="Times New Roman" w:hint="default"/>
        <w:sz w:val="18"/>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8E83366"/>
    <w:multiLevelType w:val="hybridMultilevel"/>
    <w:tmpl w:val="85601924"/>
    <w:lvl w:ilvl="0" w:tplc="E2F4418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121D2"/>
    <w:multiLevelType w:val="hybridMultilevel"/>
    <w:tmpl w:val="07F0EB34"/>
    <w:lvl w:ilvl="0" w:tplc="4D3AFB3E">
      <w:start w:val="1"/>
      <w:numFmt w:val="bullet"/>
      <w:lvlText w:val="•"/>
      <w:lvlJc w:val="left"/>
      <w:pPr>
        <w:ind w:left="1260" w:hanging="360"/>
      </w:pPr>
      <w:rPr>
        <w:rFonts w:ascii="Times New Roman" w:hAnsi="Times New Roman" w:cs="Times New Roman" w:hint="default"/>
      </w:rPr>
    </w:lvl>
    <w:lvl w:ilvl="1" w:tplc="0409000F">
      <w:start w:val="1"/>
      <w:numFmt w:val="decimal"/>
      <w:lvlText w:val="%2."/>
      <w:lvlJc w:val="left"/>
      <w:pPr>
        <w:ind w:left="1980" w:hanging="360"/>
      </w:pPr>
      <w:rPr>
        <w:rFont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6"/>
  </w:num>
  <w:num w:numId="7">
    <w:abstractNumId w:val="11"/>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A3"/>
    <w:rsid w:val="00010EC2"/>
    <w:rsid w:val="0002473D"/>
    <w:rsid w:val="000837B6"/>
    <w:rsid w:val="000D4049"/>
    <w:rsid w:val="000E37C9"/>
    <w:rsid w:val="00113458"/>
    <w:rsid w:val="001224D0"/>
    <w:rsid w:val="001B5927"/>
    <w:rsid w:val="001E5459"/>
    <w:rsid w:val="002458BF"/>
    <w:rsid w:val="002561DB"/>
    <w:rsid w:val="00256929"/>
    <w:rsid w:val="0029353F"/>
    <w:rsid w:val="00381162"/>
    <w:rsid w:val="003C3EEA"/>
    <w:rsid w:val="003F5DBB"/>
    <w:rsid w:val="004441EB"/>
    <w:rsid w:val="004921FC"/>
    <w:rsid w:val="004945BB"/>
    <w:rsid w:val="004A6E08"/>
    <w:rsid w:val="004F170B"/>
    <w:rsid w:val="00551C6B"/>
    <w:rsid w:val="005673B8"/>
    <w:rsid w:val="00575F6F"/>
    <w:rsid w:val="00586A6F"/>
    <w:rsid w:val="005A108F"/>
    <w:rsid w:val="005B21E2"/>
    <w:rsid w:val="00630910"/>
    <w:rsid w:val="00636CBA"/>
    <w:rsid w:val="006603A3"/>
    <w:rsid w:val="00691E6F"/>
    <w:rsid w:val="006B0479"/>
    <w:rsid w:val="006B532F"/>
    <w:rsid w:val="007046BE"/>
    <w:rsid w:val="00724BA2"/>
    <w:rsid w:val="007510F0"/>
    <w:rsid w:val="0075490E"/>
    <w:rsid w:val="00755206"/>
    <w:rsid w:val="00761C92"/>
    <w:rsid w:val="00786C66"/>
    <w:rsid w:val="0079665F"/>
    <w:rsid w:val="007A0CD1"/>
    <w:rsid w:val="007F0C19"/>
    <w:rsid w:val="00832A82"/>
    <w:rsid w:val="00854CF0"/>
    <w:rsid w:val="008B5B4B"/>
    <w:rsid w:val="008D61DC"/>
    <w:rsid w:val="00920DBD"/>
    <w:rsid w:val="00937E6A"/>
    <w:rsid w:val="00940A5B"/>
    <w:rsid w:val="00966FE7"/>
    <w:rsid w:val="00973F6C"/>
    <w:rsid w:val="0098476E"/>
    <w:rsid w:val="0098503E"/>
    <w:rsid w:val="009D4012"/>
    <w:rsid w:val="00AA7E8F"/>
    <w:rsid w:val="00AE7168"/>
    <w:rsid w:val="00B205D3"/>
    <w:rsid w:val="00B30322"/>
    <w:rsid w:val="00B306B8"/>
    <w:rsid w:val="00B37130"/>
    <w:rsid w:val="00B95051"/>
    <w:rsid w:val="00BF15F4"/>
    <w:rsid w:val="00C1028B"/>
    <w:rsid w:val="00C179A5"/>
    <w:rsid w:val="00C17D53"/>
    <w:rsid w:val="00C20524"/>
    <w:rsid w:val="00C45043"/>
    <w:rsid w:val="00C752B4"/>
    <w:rsid w:val="00CA1CA8"/>
    <w:rsid w:val="00CB0F4E"/>
    <w:rsid w:val="00CB6A46"/>
    <w:rsid w:val="00CF2AB6"/>
    <w:rsid w:val="00CF58A3"/>
    <w:rsid w:val="00D25A5E"/>
    <w:rsid w:val="00D60F23"/>
    <w:rsid w:val="00D870C8"/>
    <w:rsid w:val="00DD6027"/>
    <w:rsid w:val="00E41001"/>
    <w:rsid w:val="00E417A5"/>
    <w:rsid w:val="00E4203B"/>
    <w:rsid w:val="00EC07F1"/>
    <w:rsid w:val="00F067FB"/>
    <w:rsid w:val="00F358EA"/>
    <w:rsid w:val="00F37651"/>
    <w:rsid w:val="00F553B7"/>
    <w:rsid w:val="00F80588"/>
    <w:rsid w:val="00F97642"/>
    <w:rsid w:val="00FA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F7A4E1-F1A4-487C-AF02-D998616B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8EA"/>
  </w:style>
  <w:style w:type="paragraph" w:styleId="Heading1">
    <w:name w:val="heading 1"/>
    <w:basedOn w:val="Normal"/>
    <w:next w:val="BodyText"/>
    <w:qFormat/>
    <w:rsid w:val="00F358EA"/>
    <w:pPr>
      <w:numPr>
        <w:numId w:val="1"/>
      </w:numPr>
      <w:spacing w:after="60"/>
      <w:outlineLvl w:val="0"/>
    </w:pPr>
    <w:rPr>
      <w:rFonts w:asciiTheme="majorHAnsi" w:hAnsiTheme="majorHAnsi"/>
      <w:b/>
      <w:caps/>
      <w:sz w:val="18"/>
    </w:rPr>
  </w:style>
  <w:style w:type="paragraph" w:styleId="Heading2">
    <w:name w:val="heading 2"/>
    <w:basedOn w:val="Normal"/>
    <w:next w:val="Normal"/>
    <w:unhideWhenUsed/>
    <w:qFormat/>
    <w:rsid w:val="00F358EA"/>
    <w:pPr>
      <w:numPr>
        <w:ilvl w:val="1"/>
        <w:numId w:val="1"/>
      </w:numPr>
      <w:outlineLvl w:val="1"/>
    </w:pPr>
    <w:rPr>
      <w:caps/>
      <w:sz w:val="18"/>
    </w:rPr>
  </w:style>
  <w:style w:type="paragraph" w:styleId="Heading3">
    <w:name w:val="heading 3"/>
    <w:basedOn w:val="Normal"/>
    <w:next w:val="BodyText"/>
    <w:unhideWhenUsed/>
    <w:rsid w:val="00F37651"/>
    <w:pPr>
      <w:keepNext/>
      <w:keepLines/>
      <w:numPr>
        <w:ilvl w:val="2"/>
        <w:numId w:val="1"/>
      </w:numPr>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numPr>
        <w:ilvl w:val="3"/>
        <w:numId w:val="1"/>
      </w:numPr>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numPr>
        <w:ilvl w:val="4"/>
        <w:numId w:val="1"/>
      </w:numPr>
      <w:spacing w:line="240" w:lineRule="atLeast"/>
      <w:outlineLvl w:val="4"/>
    </w:pPr>
    <w:rPr>
      <w:kern w:val="20"/>
    </w:rPr>
  </w:style>
  <w:style w:type="paragraph" w:styleId="Heading6">
    <w:name w:val="heading 6"/>
    <w:basedOn w:val="Normal"/>
    <w:next w:val="Normal"/>
    <w:link w:val="Heading6Char"/>
    <w:uiPriority w:val="9"/>
    <w:semiHidden/>
    <w:unhideWhenUsed/>
    <w:qFormat/>
    <w:rsid w:val="00636CB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36CB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36CB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6CB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ListParagraph">
    <w:name w:val="List Paragraph"/>
    <w:basedOn w:val="Normal"/>
    <w:uiPriority w:val="34"/>
    <w:qFormat/>
    <w:rsid w:val="00CF58A3"/>
    <w:pPr>
      <w:ind w:left="720"/>
      <w:contextualSpacing/>
    </w:pPr>
  </w:style>
  <w:style w:type="character" w:customStyle="1" w:styleId="Heading6Char">
    <w:name w:val="Heading 6 Char"/>
    <w:basedOn w:val="DefaultParagraphFont"/>
    <w:link w:val="Heading6"/>
    <w:uiPriority w:val="9"/>
    <w:semiHidden/>
    <w:rsid w:val="00636CB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636CB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636C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6CB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603A3"/>
    <w:rPr>
      <w:color w:val="0000FF" w:themeColor="hyperlink"/>
      <w:u w:val="single"/>
    </w:rPr>
  </w:style>
  <w:style w:type="character" w:styleId="FollowedHyperlink">
    <w:name w:val="FollowedHyperlink"/>
    <w:basedOn w:val="DefaultParagraphFont"/>
    <w:uiPriority w:val="99"/>
    <w:semiHidden/>
    <w:unhideWhenUsed/>
    <w:rsid w:val="00E41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2008">
      <w:bodyDiv w:val="1"/>
      <w:marLeft w:val="0"/>
      <w:marRight w:val="0"/>
      <w:marTop w:val="0"/>
      <w:marBottom w:val="0"/>
      <w:divBdr>
        <w:top w:val="none" w:sz="0" w:space="0" w:color="auto"/>
        <w:left w:val="none" w:sz="0" w:space="0" w:color="auto"/>
        <w:bottom w:val="none" w:sz="0" w:space="0" w:color="auto"/>
        <w:right w:val="none" w:sz="0" w:space="0" w:color="auto"/>
      </w:divBdr>
    </w:div>
    <w:div w:id="100803933">
      <w:bodyDiv w:val="1"/>
      <w:marLeft w:val="0"/>
      <w:marRight w:val="0"/>
      <w:marTop w:val="0"/>
      <w:marBottom w:val="0"/>
      <w:divBdr>
        <w:top w:val="none" w:sz="0" w:space="0" w:color="auto"/>
        <w:left w:val="none" w:sz="0" w:space="0" w:color="auto"/>
        <w:bottom w:val="none" w:sz="0" w:space="0" w:color="auto"/>
        <w:right w:val="none" w:sz="0" w:space="0" w:color="auto"/>
      </w:divBdr>
    </w:div>
    <w:div w:id="707603771">
      <w:bodyDiv w:val="1"/>
      <w:marLeft w:val="0"/>
      <w:marRight w:val="0"/>
      <w:marTop w:val="0"/>
      <w:marBottom w:val="0"/>
      <w:divBdr>
        <w:top w:val="none" w:sz="0" w:space="0" w:color="auto"/>
        <w:left w:val="none" w:sz="0" w:space="0" w:color="auto"/>
        <w:bottom w:val="none" w:sz="0" w:space="0" w:color="auto"/>
        <w:right w:val="none" w:sz="0" w:space="0" w:color="auto"/>
      </w:divBdr>
    </w:div>
    <w:div w:id="17558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ate.utk.edu/faculty-coun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ate.utk.edu/archives/senate-reports-minutes-publications-2016-201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wnley\AppData\Roaming\Microsoft\Templates\Memo%20(eleg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(elegant)</Template>
  <TotalTime>37</TotalTime>
  <Pages>2</Pages>
  <Words>627</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Memo (Elegant design)</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creator>bownley</dc:creator>
  <cp:keywords/>
  <cp:lastModifiedBy>BHOwnley</cp:lastModifiedBy>
  <cp:revision>5</cp:revision>
  <cp:lastPrinted>2017-05-01T16:02:00Z</cp:lastPrinted>
  <dcterms:created xsi:type="dcterms:W3CDTF">2017-05-01T16:02:00Z</dcterms:created>
  <dcterms:modified xsi:type="dcterms:W3CDTF">2017-05-01T17:22:00Z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